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FDDD6" w14:textId="77777777" w:rsidR="006677C5" w:rsidRDefault="006677C5" w:rsidP="00B642D9">
      <w:pPr>
        <w:spacing w:after="0" w:line="240" w:lineRule="auto"/>
        <w:jc w:val="center"/>
        <w:rPr>
          <w:rFonts w:ascii="Arial" w:hAnsi="Arial" w:cs="Arial"/>
          <w:b/>
          <w:sz w:val="16"/>
          <w:szCs w:val="16"/>
          <w:u w:val="single"/>
          <w:lang w:val="en-US"/>
        </w:rPr>
      </w:pPr>
    </w:p>
    <w:p w14:paraId="37FE48F6" w14:textId="77777777" w:rsidR="006677C5" w:rsidRDefault="006677C5" w:rsidP="00B642D9">
      <w:pPr>
        <w:spacing w:after="0" w:line="240" w:lineRule="auto"/>
        <w:jc w:val="center"/>
        <w:rPr>
          <w:rFonts w:ascii="Arial" w:hAnsi="Arial" w:cs="Arial"/>
          <w:b/>
          <w:sz w:val="16"/>
          <w:szCs w:val="16"/>
          <w:u w:val="single"/>
          <w:lang w:val="en-US"/>
        </w:rPr>
      </w:pPr>
    </w:p>
    <w:p w14:paraId="0B184FED" w14:textId="48272662" w:rsidR="00B642D9" w:rsidRPr="006677C5" w:rsidRDefault="00391C15" w:rsidP="00B642D9">
      <w:pPr>
        <w:spacing w:after="0" w:line="240" w:lineRule="auto"/>
        <w:jc w:val="center"/>
        <w:rPr>
          <w:rFonts w:ascii="Arial" w:hAnsi="Arial" w:cs="Arial"/>
          <w:b/>
          <w:sz w:val="16"/>
          <w:szCs w:val="16"/>
          <w:u w:val="single"/>
          <w:lang w:val="en-US"/>
        </w:rPr>
      </w:pPr>
      <w:r w:rsidRPr="00391C15">
        <w:rPr>
          <w:rFonts w:ascii="Arial" w:hAnsi="Arial" w:cs="Arial"/>
          <w:b/>
          <w:sz w:val="16"/>
          <w:szCs w:val="16"/>
          <w:u w:val="single"/>
          <w:lang w:val="en-US"/>
        </w:rPr>
        <w:t xml:space="preserve">A+QUANT GLOBAL FUND </w:t>
      </w:r>
      <w:r w:rsidR="00B642D9" w:rsidRPr="006677C5">
        <w:rPr>
          <w:rFonts w:ascii="Arial" w:hAnsi="Arial" w:cs="Arial"/>
          <w:b/>
          <w:sz w:val="16"/>
          <w:szCs w:val="16"/>
          <w:u w:val="single"/>
          <w:lang w:val="en-US"/>
        </w:rPr>
        <w:t xml:space="preserve">(THE “FUND”) </w:t>
      </w:r>
    </w:p>
    <w:p w14:paraId="3EBEF178" w14:textId="77777777" w:rsidR="00B642D9" w:rsidRPr="006677C5" w:rsidRDefault="00B642D9" w:rsidP="00B642D9">
      <w:pPr>
        <w:spacing w:after="0" w:line="240" w:lineRule="auto"/>
        <w:jc w:val="center"/>
        <w:rPr>
          <w:rFonts w:ascii="Arial" w:hAnsi="Arial" w:cs="Arial"/>
          <w:b/>
          <w:sz w:val="16"/>
          <w:szCs w:val="16"/>
          <w:u w:val="single"/>
          <w:lang w:val="en-US"/>
        </w:rPr>
      </w:pPr>
      <w:r w:rsidRPr="006677C5">
        <w:rPr>
          <w:rFonts w:ascii="Arial" w:hAnsi="Arial" w:cs="Arial"/>
          <w:b/>
          <w:sz w:val="16"/>
          <w:szCs w:val="16"/>
          <w:u w:val="single"/>
          <w:lang w:val="en-US"/>
        </w:rPr>
        <w:t>KEY INVESTOR INFORMATION DOCUMENT</w:t>
      </w:r>
    </w:p>
    <w:p w14:paraId="3E424F2D" w14:textId="77777777" w:rsidR="00B642D9" w:rsidRPr="006677C5" w:rsidRDefault="00B642D9" w:rsidP="00B642D9">
      <w:pPr>
        <w:spacing w:after="0" w:line="240" w:lineRule="auto"/>
        <w:rPr>
          <w:rFonts w:ascii="Arial" w:hAnsi="Arial" w:cs="Arial"/>
          <w:b/>
          <w:sz w:val="16"/>
          <w:szCs w:val="16"/>
          <w:u w:val="single"/>
          <w:lang w:val="en-US"/>
        </w:rPr>
      </w:pPr>
    </w:p>
    <w:p w14:paraId="10E44F3C" w14:textId="77777777" w:rsidR="00B642D9" w:rsidRPr="006677C5" w:rsidRDefault="00B642D9" w:rsidP="00B642D9">
      <w:pPr>
        <w:spacing w:after="0" w:line="240" w:lineRule="auto"/>
        <w:jc w:val="both"/>
        <w:rPr>
          <w:rFonts w:ascii="Arial" w:hAnsi="Arial" w:cs="Arial"/>
          <w:i/>
          <w:iCs/>
          <w:sz w:val="16"/>
          <w:szCs w:val="16"/>
          <w:lang w:val="en-US"/>
        </w:rPr>
      </w:pPr>
      <w:r w:rsidRPr="006677C5">
        <w:rPr>
          <w:rFonts w:ascii="Arial" w:hAnsi="Arial" w:cs="Arial"/>
          <w:i/>
          <w:iCs/>
          <w:sz w:val="16"/>
          <w:szCs w:val="16"/>
          <w:lang w:val="en-US"/>
        </w:rPr>
        <w:t xml:space="preserve">This document provides you with key investor information about this Fund. It is not marketing material. The information </w:t>
      </w:r>
      <w:proofErr w:type="gramStart"/>
      <w:r w:rsidRPr="006677C5">
        <w:rPr>
          <w:rFonts w:ascii="Arial" w:hAnsi="Arial" w:cs="Arial"/>
          <w:i/>
          <w:iCs/>
          <w:sz w:val="16"/>
          <w:szCs w:val="16"/>
          <w:lang w:val="en-US"/>
        </w:rPr>
        <w:t>is required</w:t>
      </w:r>
      <w:proofErr w:type="gramEnd"/>
      <w:r w:rsidRPr="006677C5">
        <w:rPr>
          <w:rFonts w:ascii="Arial" w:hAnsi="Arial" w:cs="Arial"/>
          <w:i/>
          <w:iCs/>
          <w:sz w:val="16"/>
          <w:szCs w:val="16"/>
          <w:lang w:val="en-US"/>
        </w:rPr>
        <w:t xml:space="preserve"> by law to help you understand the nature and the risks of investing in this Fund. You </w:t>
      </w:r>
      <w:proofErr w:type="gramStart"/>
      <w:r w:rsidRPr="006677C5">
        <w:rPr>
          <w:rFonts w:ascii="Arial" w:hAnsi="Arial" w:cs="Arial"/>
          <w:i/>
          <w:iCs/>
          <w:sz w:val="16"/>
          <w:szCs w:val="16"/>
          <w:lang w:val="en-US"/>
        </w:rPr>
        <w:t>are advised</w:t>
      </w:r>
      <w:proofErr w:type="gramEnd"/>
      <w:r w:rsidRPr="006677C5">
        <w:rPr>
          <w:rFonts w:ascii="Arial" w:hAnsi="Arial" w:cs="Arial"/>
          <w:i/>
          <w:iCs/>
          <w:sz w:val="16"/>
          <w:szCs w:val="16"/>
          <w:lang w:val="en-US"/>
        </w:rPr>
        <w:t xml:space="preserve"> to read it so you can make an informed decision about whether to invest.</w:t>
      </w:r>
    </w:p>
    <w:p w14:paraId="21C07B21" w14:textId="77777777" w:rsidR="00B642D9" w:rsidRPr="006677C5" w:rsidRDefault="00B642D9" w:rsidP="00B642D9">
      <w:pPr>
        <w:spacing w:after="0" w:line="240" w:lineRule="auto"/>
        <w:jc w:val="both"/>
        <w:rPr>
          <w:rFonts w:ascii="Arial" w:hAnsi="Arial" w:cs="Arial"/>
          <w:i/>
          <w:iCs/>
          <w:sz w:val="16"/>
          <w:szCs w:val="16"/>
          <w:lang w:val="en-US"/>
        </w:rPr>
      </w:pPr>
    </w:p>
    <w:p w14:paraId="70405BA8" w14:textId="765A99FA" w:rsidR="00B642D9" w:rsidRPr="006677C5" w:rsidRDefault="00B642D9" w:rsidP="00B642D9">
      <w:pPr>
        <w:spacing w:after="0" w:line="240" w:lineRule="auto"/>
        <w:rPr>
          <w:rFonts w:ascii="Arial" w:hAnsi="Arial" w:cs="Arial"/>
          <w:b/>
          <w:caps/>
          <w:sz w:val="16"/>
          <w:szCs w:val="16"/>
          <w:lang w:val="en-US"/>
        </w:rPr>
      </w:pPr>
      <w:r w:rsidRPr="006677C5">
        <w:rPr>
          <w:rFonts w:ascii="Arial" w:hAnsi="Arial" w:cs="Arial"/>
          <w:b/>
          <w:caps/>
          <w:sz w:val="16"/>
          <w:szCs w:val="16"/>
          <w:lang w:val="en-US"/>
        </w:rPr>
        <w:t xml:space="preserve">THIS DOCUMENT REFERS TO CLASS </w:t>
      </w:r>
      <w:proofErr w:type="gramStart"/>
      <w:r w:rsidR="00B26915">
        <w:rPr>
          <w:rFonts w:ascii="Arial" w:hAnsi="Arial" w:cs="Arial"/>
          <w:b/>
          <w:caps/>
          <w:sz w:val="16"/>
          <w:szCs w:val="16"/>
          <w:lang w:val="en-US"/>
        </w:rPr>
        <w:t>A</w:t>
      </w:r>
      <w:r w:rsidRPr="006677C5">
        <w:rPr>
          <w:rFonts w:ascii="Arial" w:hAnsi="Arial" w:cs="Arial"/>
          <w:b/>
          <w:caps/>
          <w:sz w:val="16"/>
          <w:szCs w:val="16"/>
          <w:lang w:val="en-US"/>
        </w:rPr>
        <w:t xml:space="preserve"> SHARES</w:t>
      </w:r>
      <w:proofErr w:type="gramEnd"/>
      <w:r w:rsidRPr="006677C5">
        <w:rPr>
          <w:rFonts w:ascii="Arial" w:hAnsi="Arial" w:cs="Arial"/>
          <w:b/>
          <w:caps/>
          <w:sz w:val="16"/>
          <w:szCs w:val="16"/>
          <w:lang w:val="en-US"/>
        </w:rPr>
        <w:t xml:space="preserve"> (ISIN</w:t>
      </w:r>
      <w:r w:rsidR="00B26915">
        <w:rPr>
          <w:rFonts w:ascii="Arial" w:hAnsi="Arial" w:cs="Arial"/>
          <w:b/>
          <w:caps/>
          <w:sz w:val="16"/>
          <w:szCs w:val="16"/>
          <w:lang w:val="en-US"/>
        </w:rPr>
        <w:t xml:space="preserve"> </w:t>
      </w:r>
      <w:r w:rsidR="00B26915">
        <w:t>E00BMDBVK06</w:t>
      </w:r>
      <w:r w:rsidRPr="006677C5">
        <w:rPr>
          <w:rFonts w:ascii="Arial" w:hAnsi="Arial" w:cs="Arial"/>
          <w:b/>
          <w:caps/>
          <w:sz w:val="16"/>
          <w:szCs w:val="16"/>
        </w:rPr>
        <w:t>)</w:t>
      </w:r>
      <w:r w:rsidRPr="006677C5">
        <w:rPr>
          <w:rFonts w:ascii="Arial" w:hAnsi="Arial" w:cs="Arial"/>
          <w:b/>
          <w:caps/>
          <w:sz w:val="16"/>
          <w:szCs w:val="16"/>
          <w:lang w:val="en-US"/>
        </w:rPr>
        <w:t xml:space="preserve"> OF THE FUND, A SUB-FUND OF FCS Global Fund Services ICAV (the “ICAV”). THE MANAGER OF THE ICAV IS FCS ASSET MANAGEMENT</w:t>
      </w:r>
      <w:r w:rsidR="000A6379" w:rsidRPr="006677C5">
        <w:rPr>
          <w:rFonts w:ascii="Arial" w:hAnsi="Arial" w:cs="Arial"/>
          <w:b/>
          <w:caps/>
          <w:sz w:val="16"/>
          <w:szCs w:val="16"/>
          <w:lang w:val="en-US"/>
        </w:rPr>
        <w:t>,</w:t>
      </w:r>
      <w:r w:rsidRPr="006677C5">
        <w:rPr>
          <w:rFonts w:ascii="Arial" w:hAnsi="Arial" w:cs="Arial"/>
          <w:b/>
          <w:caps/>
          <w:sz w:val="16"/>
          <w:szCs w:val="16"/>
          <w:lang w:val="en-US"/>
        </w:rPr>
        <w:t xml:space="preserve"> L</w:t>
      </w:r>
      <w:r w:rsidR="000A6379" w:rsidRPr="006677C5">
        <w:rPr>
          <w:rFonts w:ascii="Arial" w:hAnsi="Arial" w:cs="Arial"/>
          <w:b/>
          <w:caps/>
          <w:sz w:val="16"/>
          <w:szCs w:val="16"/>
          <w:lang w:val="en-US"/>
        </w:rPr>
        <w:t>IMI</w:t>
      </w:r>
      <w:r w:rsidRPr="006677C5">
        <w:rPr>
          <w:rFonts w:ascii="Arial" w:hAnsi="Arial" w:cs="Arial"/>
          <w:b/>
          <w:caps/>
          <w:sz w:val="16"/>
          <w:szCs w:val="16"/>
          <w:lang w:val="en-US"/>
        </w:rPr>
        <w:t>T</w:t>
      </w:r>
      <w:r w:rsidR="000A6379" w:rsidRPr="006677C5">
        <w:rPr>
          <w:rFonts w:ascii="Arial" w:hAnsi="Arial" w:cs="Arial"/>
          <w:b/>
          <w:caps/>
          <w:sz w:val="16"/>
          <w:szCs w:val="16"/>
          <w:lang w:val="en-US"/>
        </w:rPr>
        <w:t>E</w:t>
      </w:r>
      <w:r w:rsidRPr="006677C5">
        <w:rPr>
          <w:rFonts w:ascii="Arial" w:hAnsi="Arial" w:cs="Arial"/>
          <w:b/>
          <w:caps/>
          <w:sz w:val="16"/>
          <w:szCs w:val="16"/>
          <w:lang w:val="en-US"/>
        </w:rPr>
        <w:t>D (the “Manager”)</w:t>
      </w:r>
    </w:p>
    <w:p w14:paraId="70091E7C" w14:textId="77777777" w:rsidR="00B642D9" w:rsidRPr="006677C5" w:rsidRDefault="00B642D9" w:rsidP="00B642D9">
      <w:pPr>
        <w:spacing w:after="0" w:line="240" w:lineRule="auto"/>
        <w:rPr>
          <w:rFonts w:ascii="Arial" w:hAnsi="Arial" w:cs="Arial"/>
          <w:b/>
          <w:caps/>
          <w:sz w:val="16"/>
          <w:szCs w:val="16"/>
          <w:lang w:val="en-US"/>
        </w:rPr>
      </w:pPr>
    </w:p>
    <w:tbl>
      <w:tblPr>
        <w:tblStyle w:val="TableGrid"/>
        <w:tblW w:w="9180" w:type="dxa"/>
        <w:tblLook w:val="04A0" w:firstRow="1" w:lastRow="0" w:firstColumn="1" w:lastColumn="0" w:noHBand="0" w:noVBand="1"/>
      </w:tblPr>
      <w:tblGrid>
        <w:gridCol w:w="4361"/>
        <w:gridCol w:w="4819"/>
      </w:tblGrid>
      <w:tr w:rsidR="00B642D9" w:rsidRPr="006677C5" w14:paraId="748CE782" w14:textId="77777777" w:rsidTr="00A15BF8">
        <w:trPr>
          <w:trHeight w:val="6817"/>
        </w:trPr>
        <w:tc>
          <w:tcPr>
            <w:tcW w:w="4361" w:type="dxa"/>
          </w:tcPr>
          <w:p w14:paraId="28E36EF6" w14:textId="77777777" w:rsidR="00B642D9" w:rsidRPr="006677C5" w:rsidRDefault="00B642D9" w:rsidP="00D64362">
            <w:pPr>
              <w:spacing w:line="240" w:lineRule="auto"/>
              <w:rPr>
                <w:rFonts w:ascii="Arial" w:hAnsi="Arial" w:cs="Arial"/>
                <w:b/>
                <w:sz w:val="16"/>
                <w:szCs w:val="16"/>
                <w:lang w:val="en-US"/>
              </w:rPr>
            </w:pPr>
            <w:r w:rsidRPr="006677C5">
              <w:rPr>
                <w:rFonts w:ascii="Arial" w:hAnsi="Arial" w:cs="Arial"/>
                <w:b/>
                <w:sz w:val="16"/>
                <w:szCs w:val="16"/>
                <w:lang w:val="en-US"/>
              </w:rPr>
              <w:t>OBJECTIVES AND INVESTMENT POLICY</w:t>
            </w:r>
          </w:p>
          <w:p w14:paraId="3824AD35" w14:textId="317FA53F" w:rsidR="00B642D9" w:rsidRDefault="00B642D9" w:rsidP="003C117C">
            <w:pPr>
              <w:spacing w:after="0" w:line="240" w:lineRule="auto"/>
              <w:jc w:val="both"/>
              <w:rPr>
                <w:rFonts w:ascii="Arial" w:hAnsi="Arial" w:cs="Arial"/>
                <w:sz w:val="16"/>
                <w:szCs w:val="16"/>
                <w:lang w:val="en-US"/>
              </w:rPr>
            </w:pPr>
            <w:r w:rsidRPr="003C117C">
              <w:rPr>
                <w:rFonts w:ascii="Arial" w:hAnsi="Arial" w:cs="Arial"/>
                <w:sz w:val="16"/>
                <w:szCs w:val="16"/>
                <w:lang w:val="en-US"/>
              </w:rPr>
              <w:t>The Fund’s investment objective is to</w:t>
            </w:r>
            <w:r w:rsidR="00391C15">
              <w:rPr>
                <w:rFonts w:ascii="Arial" w:hAnsi="Arial" w:cs="Arial"/>
                <w:sz w:val="16"/>
                <w:szCs w:val="16"/>
                <w:lang w:val="en-US"/>
              </w:rPr>
              <w:t xml:space="preserve"> achieve</w:t>
            </w:r>
            <w:r w:rsidRPr="003C117C">
              <w:rPr>
                <w:rFonts w:ascii="Arial" w:hAnsi="Arial" w:cs="Arial"/>
                <w:sz w:val="16"/>
                <w:szCs w:val="16"/>
                <w:lang w:val="en-US"/>
              </w:rPr>
              <w:t xml:space="preserve"> </w:t>
            </w:r>
            <w:r w:rsidR="00391C15" w:rsidRPr="00391C15">
              <w:rPr>
                <w:rFonts w:ascii="Arial" w:hAnsi="Arial" w:cs="Arial"/>
                <w:sz w:val="16"/>
                <w:szCs w:val="16"/>
                <w:lang w:val="en-US"/>
              </w:rPr>
              <w:t>medium to long-term positive returns and capital growth</w:t>
            </w:r>
            <w:r w:rsidRPr="003C117C">
              <w:rPr>
                <w:rFonts w:ascii="Arial" w:hAnsi="Arial" w:cs="Arial"/>
                <w:sz w:val="16"/>
                <w:szCs w:val="16"/>
                <w:lang w:val="en-US"/>
              </w:rPr>
              <w:t>.</w:t>
            </w:r>
          </w:p>
          <w:p w14:paraId="08F31D75" w14:textId="71BDD47D" w:rsidR="00391C15" w:rsidRDefault="00391C15" w:rsidP="003C117C">
            <w:pPr>
              <w:spacing w:after="0" w:line="240" w:lineRule="auto"/>
              <w:jc w:val="both"/>
              <w:rPr>
                <w:rFonts w:ascii="Arial" w:hAnsi="Arial" w:cs="Arial"/>
                <w:sz w:val="16"/>
                <w:szCs w:val="16"/>
                <w:lang w:val="en-US"/>
              </w:rPr>
            </w:pPr>
          </w:p>
          <w:p w14:paraId="1A5EE659" w14:textId="5CDE7555" w:rsidR="00391C15" w:rsidRDefault="00391C15" w:rsidP="003C117C">
            <w:pPr>
              <w:spacing w:after="0" w:line="240" w:lineRule="auto"/>
              <w:jc w:val="both"/>
              <w:rPr>
                <w:rFonts w:ascii="Arial" w:hAnsi="Arial" w:cs="Arial"/>
                <w:sz w:val="16"/>
                <w:szCs w:val="16"/>
                <w:lang w:val="en-US"/>
              </w:rPr>
            </w:pPr>
            <w:r>
              <w:rPr>
                <w:rFonts w:ascii="Arial" w:hAnsi="Arial" w:cs="Arial"/>
                <w:sz w:val="16"/>
                <w:szCs w:val="16"/>
                <w:lang w:val="en-US"/>
              </w:rPr>
              <w:t xml:space="preserve">The Fund will </w:t>
            </w:r>
            <w:r w:rsidRPr="00391C15">
              <w:rPr>
                <w:rFonts w:ascii="Arial" w:hAnsi="Arial" w:cs="Arial"/>
                <w:sz w:val="16"/>
                <w:szCs w:val="16"/>
                <w:lang w:val="en-US"/>
              </w:rPr>
              <w:t xml:space="preserve">invest in </w:t>
            </w:r>
            <w:proofErr w:type="gramStart"/>
            <w:r w:rsidRPr="00391C15">
              <w:rPr>
                <w:rFonts w:ascii="Arial" w:hAnsi="Arial" w:cs="Arial"/>
                <w:sz w:val="16"/>
                <w:szCs w:val="16"/>
                <w:lang w:val="en-US"/>
              </w:rPr>
              <w:t>highly liquid</w:t>
            </w:r>
            <w:proofErr w:type="gramEnd"/>
            <w:r w:rsidRPr="00391C15">
              <w:rPr>
                <w:rFonts w:ascii="Arial" w:hAnsi="Arial" w:cs="Arial"/>
                <w:sz w:val="16"/>
                <w:szCs w:val="16"/>
                <w:lang w:val="en-US"/>
              </w:rPr>
              <w:t xml:space="preserve"> futures and options on equities, bonds, currencies and short-term interest rates across multiple time horizons, using </w:t>
            </w:r>
            <w:r>
              <w:rPr>
                <w:rFonts w:ascii="Arial" w:hAnsi="Arial" w:cs="Arial"/>
                <w:sz w:val="16"/>
                <w:szCs w:val="16"/>
                <w:lang w:val="en-US"/>
              </w:rPr>
              <w:t xml:space="preserve">a </w:t>
            </w:r>
            <w:r w:rsidRPr="00391C15">
              <w:rPr>
                <w:rFonts w:ascii="Arial" w:hAnsi="Arial" w:cs="Arial"/>
                <w:sz w:val="16"/>
                <w:szCs w:val="16"/>
                <w:lang w:val="en-US"/>
              </w:rPr>
              <w:t>quantitative approach based on algorithmic trading</w:t>
            </w:r>
            <w:r w:rsidR="00DE609F">
              <w:rPr>
                <w:rFonts w:ascii="Arial" w:hAnsi="Arial" w:cs="Arial"/>
                <w:sz w:val="16"/>
                <w:szCs w:val="16"/>
                <w:lang w:val="en-US"/>
              </w:rPr>
              <w:t xml:space="preserve">. </w:t>
            </w:r>
            <w:r w:rsidR="00DE609F" w:rsidRPr="00DE609F">
              <w:rPr>
                <w:rFonts w:ascii="Arial" w:hAnsi="Arial" w:cs="Arial"/>
                <w:sz w:val="16"/>
                <w:szCs w:val="16"/>
                <w:lang w:val="en-US"/>
              </w:rPr>
              <w:t>The Fund will generally seek to mitigate risk through diversification by investing directly in other asset classes including equity and equity-related securities, fixed income and fixed income-related securities, currencies, cash and Money Market Instruments</w:t>
            </w:r>
            <w:r w:rsidR="00DE609F">
              <w:rPr>
                <w:rFonts w:ascii="Arial" w:hAnsi="Arial" w:cs="Arial"/>
                <w:sz w:val="16"/>
                <w:szCs w:val="16"/>
                <w:lang w:val="en-US"/>
              </w:rPr>
              <w:t>.</w:t>
            </w:r>
          </w:p>
          <w:p w14:paraId="62E556DA" w14:textId="7D8DCE09" w:rsidR="00DE609F" w:rsidRDefault="00DE609F" w:rsidP="003C117C">
            <w:pPr>
              <w:spacing w:after="0" w:line="240" w:lineRule="auto"/>
              <w:jc w:val="both"/>
              <w:rPr>
                <w:rFonts w:ascii="Arial" w:hAnsi="Arial" w:cs="Arial"/>
                <w:sz w:val="16"/>
                <w:szCs w:val="16"/>
                <w:lang w:val="en-US"/>
              </w:rPr>
            </w:pPr>
          </w:p>
          <w:p w14:paraId="68DDE0FB" w14:textId="142BA289" w:rsidR="00391C15" w:rsidRDefault="00DE609F" w:rsidP="003C117C">
            <w:pPr>
              <w:spacing w:after="0" w:line="240" w:lineRule="auto"/>
              <w:jc w:val="both"/>
              <w:rPr>
                <w:rFonts w:ascii="Arial" w:hAnsi="Arial" w:cs="Arial"/>
                <w:sz w:val="16"/>
                <w:szCs w:val="16"/>
                <w:lang w:val="en-US"/>
              </w:rPr>
            </w:pPr>
            <w:r w:rsidRPr="00DE609F">
              <w:rPr>
                <w:rFonts w:ascii="Arial" w:hAnsi="Arial" w:cs="Arial"/>
                <w:sz w:val="16"/>
                <w:szCs w:val="16"/>
                <w:lang w:val="en-US"/>
              </w:rPr>
              <w:t xml:space="preserve">The Fund will primarily invest in securities and instruments related to the G-10 countries but </w:t>
            </w:r>
            <w:proofErr w:type="gramStart"/>
            <w:r w:rsidRPr="00DE609F">
              <w:rPr>
                <w:rFonts w:ascii="Arial" w:hAnsi="Arial" w:cs="Arial"/>
                <w:sz w:val="16"/>
                <w:szCs w:val="16"/>
                <w:lang w:val="en-US"/>
              </w:rPr>
              <w:t>will not be biased</w:t>
            </w:r>
            <w:proofErr w:type="gramEnd"/>
            <w:r w:rsidRPr="00DE609F">
              <w:rPr>
                <w:rFonts w:ascii="Arial" w:hAnsi="Arial" w:cs="Arial"/>
                <w:sz w:val="16"/>
                <w:szCs w:val="16"/>
                <w:lang w:val="en-US"/>
              </w:rPr>
              <w:t xml:space="preserve"> towards any specific country, industry, sector or region</w:t>
            </w:r>
            <w:r>
              <w:rPr>
                <w:rFonts w:ascii="Arial" w:hAnsi="Arial" w:cs="Arial"/>
                <w:sz w:val="16"/>
                <w:szCs w:val="16"/>
                <w:lang w:val="en-US"/>
              </w:rPr>
              <w:t>.</w:t>
            </w:r>
          </w:p>
          <w:p w14:paraId="69071804" w14:textId="50313EC6" w:rsidR="00DE609F" w:rsidRDefault="00DE609F" w:rsidP="003C117C">
            <w:pPr>
              <w:spacing w:after="0" w:line="240" w:lineRule="auto"/>
              <w:jc w:val="both"/>
              <w:rPr>
                <w:rFonts w:ascii="Arial" w:hAnsi="Arial" w:cs="Arial"/>
                <w:sz w:val="16"/>
                <w:szCs w:val="16"/>
                <w:lang w:val="en-US"/>
              </w:rPr>
            </w:pPr>
          </w:p>
          <w:p w14:paraId="0A776F28" w14:textId="1890D6B7" w:rsidR="00DE609F" w:rsidRDefault="00DE609F" w:rsidP="00DE609F">
            <w:pPr>
              <w:spacing w:after="0" w:line="240" w:lineRule="auto"/>
              <w:jc w:val="both"/>
              <w:rPr>
                <w:rFonts w:ascii="Arial" w:hAnsi="Arial" w:cs="Arial"/>
                <w:sz w:val="16"/>
                <w:szCs w:val="16"/>
                <w:lang w:val="en-US"/>
              </w:rPr>
            </w:pPr>
            <w:r>
              <w:rPr>
                <w:rFonts w:ascii="Arial" w:hAnsi="Arial" w:cs="Arial"/>
                <w:sz w:val="16"/>
                <w:szCs w:val="16"/>
                <w:lang w:val="en-US"/>
              </w:rPr>
              <w:t>The Fund will use FDIs to invest directly in the asset classes outlined above. Through the use of FDI</w:t>
            </w:r>
            <w:r w:rsidR="005C0223">
              <w:rPr>
                <w:rFonts w:ascii="Arial" w:hAnsi="Arial" w:cs="Arial"/>
                <w:sz w:val="16"/>
                <w:szCs w:val="16"/>
                <w:lang w:val="en-US"/>
              </w:rPr>
              <w:t>s</w:t>
            </w:r>
            <w:r w:rsidR="00851231">
              <w:rPr>
                <w:rFonts w:ascii="Arial" w:hAnsi="Arial" w:cs="Arial"/>
                <w:sz w:val="16"/>
                <w:szCs w:val="16"/>
                <w:lang w:val="en-US"/>
              </w:rPr>
              <w:t xml:space="preserve"> or direct investment,</w:t>
            </w:r>
            <w:r>
              <w:rPr>
                <w:rFonts w:ascii="Arial" w:hAnsi="Arial" w:cs="Arial"/>
                <w:sz w:val="16"/>
                <w:szCs w:val="16"/>
                <w:lang w:val="en-US"/>
              </w:rPr>
              <w:t xml:space="preserve"> the Fund may:</w:t>
            </w:r>
          </w:p>
          <w:p w14:paraId="17CD41F9" w14:textId="77777777" w:rsidR="00DE609F" w:rsidRDefault="00DE609F" w:rsidP="00DE609F">
            <w:pPr>
              <w:spacing w:after="0" w:line="240" w:lineRule="auto"/>
              <w:jc w:val="both"/>
              <w:rPr>
                <w:rFonts w:ascii="Arial" w:hAnsi="Arial" w:cs="Arial"/>
                <w:sz w:val="16"/>
                <w:szCs w:val="16"/>
                <w:lang w:val="en-US"/>
              </w:rPr>
            </w:pPr>
          </w:p>
          <w:p w14:paraId="411557CC" w14:textId="1145A900" w:rsidR="00DE609F" w:rsidRDefault="00851231" w:rsidP="00DE609F">
            <w:pPr>
              <w:spacing w:after="0" w:line="240" w:lineRule="auto"/>
              <w:jc w:val="both"/>
              <w:rPr>
                <w:rFonts w:ascii="Arial" w:hAnsi="Arial" w:cs="Arial"/>
                <w:sz w:val="16"/>
                <w:szCs w:val="16"/>
                <w:lang w:val="en-US"/>
              </w:rPr>
            </w:pPr>
            <w:r>
              <w:rPr>
                <w:rFonts w:ascii="Arial" w:hAnsi="Arial" w:cs="Arial"/>
                <w:sz w:val="16"/>
                <w:szCs w:val="16"/>
                <w:lang w:val="en-US"/>
              </w:rPr>
              <w:t>- i</w:t>
            </w:r>
            <w:r w:rsidR="005C0223">
              <w:rPr>
                <w:rFonts w:ascii="Arial" w:hAnsi="Arial" w:cs="Arial"/>
                <w:sz w:val="16"/>
                <w:szCs w:val="16"/>
                <w:lang w:val="en-US"/>
              </w:rPr>
              <w:t xml:space="preserve">nvest up to </w:t>
            </w:r>
            <w:r w:rsidR="00DE609F">
              <w:rPr>
                <w:rFonts w:ascii="Arial" w:hAnsi="Arial" w:cs="Arial"/>
                <w:sz w:val="16"/>
                <w:szCs w:val="16"/>
                <w:lang w:val="en-US"/>
              </w:rPr>
              <w:t xml:space="preserve">25% of its Net Asset Value in equity and equity-related securities such as </w:t>
            </w:r>
            <w:r w:rsidR="00DE609F" w:rsidRPr="00DE609F">
              <w:rPr>
                <w:rFonts w:ascii="Arial" w:hAnsi="Arial" w:cs="Arial"/>
                <w:sz w:val="16"/>
                <w:szCs w:val="16"/>
                <w:lang w:val="en-US"/>
              </w:rPr>
              <w:t>common stock, preferred stock, A</w:t>
            </w:r>
            <w:r w:rsidR="00DE609F">
              <w:rPr>
                <w:rFonts w:ascii="Arial" w:hAnsi="Arial" w:cs="Arial"/>
                <w:sz w:val="16"/>
                <w:szCs w:val="16"/>
                <w:lang w:val="en-US"/>
              </w:rPr>
              <w:t>merican depositary receipt</w:t>
            </w:r>
            <w:r w:rsidR="00DE609F" w:rsidRPr="00DE609F">
              <w:rPr>
                <w:rFonts w:ascii="Arial" w:hAnsi="Arial" w:cs="Arial"/>
                <w:sz w:val="16"/>
                <w:szCs w:val="16"/>
                <w:lang w:val="en-US"/>
              </w:rPr>
              <w:t xml:space="preserve">s and </w:t>
            </w:r>
            <w:r w:rsidR="00DE609F">
              <w:rPr>
                <w:rFonts w:ascii="Arial" w:hAnsi="Arial" w:cs="Arial"/>
                <w:sz w:val="16"/>
                <w:szCs w:val="16"/>
                <w:lang w:val="en-US"/>
              </w:rPr>
              <w:t>global depositary receipts;</w:t>
            </w:r>
          </w:p>
          <w:p w14:paraId="1B1896BA" w14:textId="12BDBAB5" w:rsidR="00DE609F" w:rsidRDefault="00DE609F" w:rsidP="00DE609F">
            <w:pPr>
              <w:spacing w:after="0" w:line="240" w:lineRule="auto"/>
              <w:jc w:val="both"/>
              <w:rPr>
                <w:rFonts w:ascii="Arial" w:hAnsi="Arial" w:cs="Arial"/>
                <w:sz w:val="16"/>
                <w:szCs w:val="16"/>
                <w:lang w:val="en-US"/>
              </w:rPr>
            </w:pPr>
          </w:p>
          <w:p w14:paraId="13B07318" w14:textId="290B27AA" w:rsidR="00DE609F" w:rsidRDefault="00851231" w:rsidP="00DE609F">
            <w:pPr>
              <w:spacing w:after="0" w:line="240" w:lineRule="auto"/>
              <w:jc w:val="both"/>
              <w:rPr>
                <w:rFonts w:ascii="Arial" w:hAnsi="Arial" w:cs="Arial"/>
                <w:sz w:val="16"/>
                <w:szCs w:val="16"/>
                <w:lang w:val="en-US"/>
              </w:rPr>
            </w:pPr>
            <w:r>
              <w:rPr>
                <w:rFonts w:ascii="Arial" w:hAnsi="Arial" w:cs="Arial"/>
                <w:sz w:val="16"/>
                <w:szCs w:val="16"/>
                <w:lang w:val="en-US"/>
              </w:rPr>
              <w:t>- i</w:t>
            </w:r>
            <w:r w:rsidR="005C0223">
              <w:rPr>
                <w:rFonts w:ascii="Arial" w:hAnsi="Arial" w:cs="Arial"/>
                <w:sz w:val="16"/>
                <w:szCs w:val="16"/>
                <w:lang w:val="en-US"/>
              </w:rPr>
              <w:t xml:space="preserve">nvest up to </w:t>
            </w:r>
            <w:r w:rsidR="00DE609F">
              <w:rPr>
                <w:rFonts w:ascii="Arial" w:hAnsi="Arial" w:cs="Arial"/>
                <w:sz w:val="16"/>
                <w:szCs w:val="16"/>
                <w:lang w:val="en-US"/>
              </w:rPr>
              <w:t>25% of its Net Asset Value in</w:t>
            </w:r>
            <w:r w:rsidR="005C0223">
              <w:t xml:space="preserve"> </w:t>
            </w:r>
            <w:r w:rsidR="005C0223" w:rsidRPr="005C0223">
              <w:rPr>
                <w:rFonts w:ascii="Arial" w:hAnsi="Arial" w:cs="Arial"/>
                <w:sz w:val="16"/>
                <w:szCs w:val="16"/>
                <w:lang w:val="en-US"/>
              </w:rPr>
              <w:t>in fixed income and fixed income-related securities</w:t>
            </w:r>
            <w:r w:rsidR="005C0223">
              <w:rPr>
                <w:rFonts w:ascii="Arial" w:hAnsi="Arial" w:cs="Arial"/>
                <w:sz w:val="16"/>
                <w:szCs w:val="16"/>
                <w:lang w:val="en-US"/>
              </w:rPr>
              <w:t xml:space="preserve"> </w:t>
            </w:r>
            <w:r w:rsidR="005C0223" w:rsidRPr="003C117C">
              <w:rPr>
                <w:rFonts w:ascii="Arial" w:hAnsi="Arial" w:cs="Arial"/>
                <w:sz w:val="16"/>
                <w:szCs w:val="16"/>
                <w:lang w:val="en-US"/>
              </w:rPr>
              <w:t>including fixed and/or floating rate debt securities, unrated securities, investment grade-rated and sub-investment grade-rated</w:t>
            </w:r>
            <w:bookmarkStart w:id="0" w:name="_GoBack"/>
            <w:bookmarkEnd w:id="0"/>
            <w:r w:rsidR="005C0223" w:rsidRPr="003C117C">
              <w:rPr>
                <w:rFonts w:ascii="Arial" w:hAnsi="Arial" w:cs="Arial"/>
                <w:sz w:val="16"/>
                <w:szCs w:val="16"/>
                <w:lang w:val="en-US"/>
              </w:rPr>
              <w:t xml:space="preserve">. The Fund may invest up to </w:t>
            </w:r>
            <w:r>
              <w:rPr>
                <w:rFonts w:ascii="Arial" w:hAnsi="Arial" w:cs="Arial"/>
                <w:sz w:val="16"/>
                <w:szCs w:val="16"/>
                <w:lang w:val="en-US"/>
              </w:rPr>
              <w:t>25</w:t>
            </w:r>
            <w:r w:rsidR="005C0223" w:rsidRPr="003C117C">
              <w:rPr>
                <w:rFonts w:ascii="Arial" w:hAnsi="Arial" w:cs="Arial"/>
                <w:sz w:val="16"/>
                <w:szCs w:val="16"/>
                <w:lang w:val="en-US"/>
              </w:rPr>
              <w:t>% in below investment grade securities. The Fund may also invest in fixed incom</w:t>
            </w:r>
            <w:r w:rsidR="005C0223">
              <w:rPr>
                <w:rFonts w:ascii="Arial" w:hAnsi="Arial" w:cs="Arial"/>
                <w:sz w:val="16"/>
                <w:szCs w:val="16"/>
                <w:lang w:val="en-US"/>
              </w:rPr>
              <w:t>e securities with embedded FDIs;</w:t>
            </w:r>
          </w:p>
          <w:p w14:paraId="2C4D7F5E" w14:textId="341BF2EB" w:rsidR="005C0223" w:rsidRDefault="005C0223" w:rsidP="00DE609F">
            <w:pPr>
              <w:spacing w:after="0" w:line="240" w:lineRule="auto"/>
              <w:jc w:val="both"/>
              <w:rPr>
                <w:rFonts w:ascii="Arial" w:hAnsi="Arial" w:cs="Arial"/>
                <w:sz w:val="16"/>
                <w:szCs w:val="16"/>
                <w:lang w:val="en-US"/>
              </w:rPr>
            </w:pPr>
          </w:p>
          <w:p w14:paraId="2FF852B3" w14:textId="1BD1CBA3" w:rsidR="00D64362" w:rsidRPr="003C117C" w:rsidRDefault="00D64362" w:rsidP="00851231">
            <w:pPr>
              <w:spacing w:after="0" w:line="240" w:lineRule="auto"/>
              <w:jc w:val="both"/>
              <w:rPr>
                <w:rFonts w:ascii="Arial" w:hAnsi="Arial" w:cs="Arial"/>
                <w:sz w:val="16"/>
                <w:szCs w:val="16"/>
                <w:lang w:val="en-US"/>
              </w:rPr>
            </w:pPr>
          </w:p>
        </w:tc>
        <w:tc>
          <w:tcPr>
            <w:tcW w:w="4819" w:type="dxa"/>
          </w:tcPr>
          <w:p w14:paraId="6E285601" w14:textId="77777777" w:rsidR="00851231" w:rsidRDefault="00851231" w:rsidP="00851231">
            <w:pPr>
              <w:spacing w:after="0" w:line="240" w:lineRule="auto"/>
              <w:jc w:val="both"/>
              <w:rPr>
                <w:rFonts w:ascii="Arial" w:hAnsi="Arial" w:cs="Arial"/>
                <w:sz w:val="16"/>
                <w:szCs w:val="16"/>
                <w:lang w:val="en-US"/>
              </w:rPr>
            </w:pPr>
            <w:r>
              <w:rPr>
                <w:rFonts w:ascii="Arial" w:hAnsi="Arial" w:cs="Arial"/>
                <w:sz w:val="16"/>
                <w:szCs w:val="16"/>
                <w:lang w:val="en-US"/>
              </w:rPr>
              <w:t xml:space="preserve">- invest up to </w:t>
            </w:r>
            <w:r w:rsidRPr="005C0223">
              <w:rPr>
                <w:rFonts w:ascii="Arial" w:hAnsi="Arial" w:cs="Arial"/>
                <w:sz w:val="16"/>
                <w:szCs w:val="16"/>
                <w:lang w:val="en-US"/>
              </w:rPr>
              <w:t>100% of its Net Asset Value in currencies to take exposure for investment purposes in certain markets, principally the G-10 countries, or in order to hedge the Fund’s exposure to currencies</w:t>
            </w:r>
            <w:r>
              <w:rPr>
                <w:rFonts w:ascii="Arial" w:hAnsi="Arial" w:cs="Arial"/>
                <w:sz w:val="16"/>
                <w:szCs w:val="16"/>
                <w:lang w:val="en-US"/>
              </w:rPr>
              <w:t>;</w:t>
            </w:r>
          </w:p>
          <w:p w14:paraId="4D27D4EE" w14:textId="77777777" w:rsidR="00851231" w:rsidRDefault="00851231" w:rsidP="00851231">
            <w:pPr>
              <w:spacing w:after="0" w:line="240" w:lineRule="auto"/>
              <w:jc w:val="both"/>
              <w:rPr>
                <w:rFonts w:ascii="Arial" w:hAnsi="Arial" w:cs="Arial"/>
                <w:sz w:val="16"/>
                <w:szCs w:val="16"/>
                <w:lang w:val="en-US"/>
              </w:rPr>
            </w:pPr>
          </w:p>
          <w:p w14:paraId="4B5B84C7" w14:textId="1C784626" w:rsidR="00851231" w:rsidRPr="003C117C" w:rsidRDefault="00851231" w:rsidP="00851231">
            <w:pPr>
              <w:spacing w:after="0" w:line="240" w:lineRule="auto"/>
              <w:jc w:val="both"/>
              <w:rPr>
                <w:rFonts w:ascii="Arial" w:hAnsi="Arial" w:cs="Arial"/>
                <w:sz w:val="16"/>
                <w:szCs w:val="16"/>
                <w:lang w:val="en-US"/>
              </w:rPr>
            </w:pPr>
            <w:r>
              <w:rPr>
                <w:rFonts w:ascii="Arial" w:hAnsi="Arial" w:cs="Arial"/>
                <w:sz w:val="16"/>
                <w:szCs w:val="16"/>
                <w:lang w:val="en-US"/>
              </w:rPr>
              <w:t>- d</w:t>
            </w:r>
            <w:r w:rsidRPr="005C0223">
              <w:rPr>
                <w:rFonts w:ascii="Arial" w:hAnsi="Arial" w:cs="Arial"/>
                <w:sz w:val="16"/>
                <w:szCs w:val="16"/>
                <w:lang w:val="en-US"/>
              </w:rPr>
              <w:t>epending on prevailing market conditions and on an ancillary basis, invest in cash and/or cash equivalents in order to protect the capital of the Fund and/or achieve capital growth</w:t>
            </w:r>
            <w:r>
              <w:rPr>
                <w:rFonts w:ascii="Arial" w:hAnsi="Arial" w:cs="Arial"/>
                <w:sz w:val="16"/>
                <w:szCs w:val="16"/>
                <w:lang w:val="en-US"/>
              </w:rPr>
              <w:t>; and</w:t>
            </w:r>
          </w:p>
          <w:p w14:paraId="11019592" w14:textId="77777777" w:rsidR="00851231" w:rsidRDefault="00851231" w:rsidP="00851231">
            <w:pPr>
              <w:spacing w:after="0" w:line="240" w:lineRule="auto"/>
              <w:jc w:val="both"/>
              <w:rPr>
                <w:rFonts w:ascii="Arial" w:hAnsi="Arial" w:cs="Arial"/>
                <w:sz w:val="16"/>
                <w:szCs w:val="16"/>
                <w:lang w:val="en-US"/>
              </w:rPr>
            </w:pPr>
          </w:p>
          <w:p w14:paraId="04D3BC43" w14:textId="2B7A5E85" w:rsidR="00851231" w:rsidRDefault="00851231" w:rsidP="00851231">
            <w:pPr>
              <w:spacing w:after="0" w:line="240" w:lineRule="auto"/>
              <w:jc w:val="both"/>
              <w:rPr>
                <w:rFonts w:ascii="Arial" w:hAnsi="Arial" w:cs="Arial"/>
                <w:sz w:val="16"/>
                <w:szCs w:val="16"/>
                <w:lang w:val="en-US"/>
              </w:rPr>
            </w:pPr>
            <w:r>
              <w:rPr>
                <w:rFonts w:ascii="Arial" w:hAnsi="Arial" w:cs="Arial"/>
                <w:sz w:val="16"/>
                <w:szCs w:val="16"/>
                <w:lang w:val="en-US"/>
              </w:rPr>
              <w:t>- i</w:t>
            </w:r>
            <w:r w:rsidRPr="005C0223">
              <w:rPr>
                <w:rFonts w:ascii="Arial" w:hAnsi="Arial" w:cs="Arial"/>
                <w:sz w:val="16"/>
                <w:szCs w:val="16"/>
                <w:lang w:val="en-US"/>
              </w:rPr>
              <w:t xml:space="preserve">nvest up to 20% of its Net Asset Value in </w:t>
            </w:r>
            <w:r w:rsidRPr="003C117C">
              <w:rPr>
                <w:rFonts w:ascii="Arial" w:hAnsi="Arial" w:cs="Arial"/>
                <w:sz w:val="16"/>
                <w:szCs w:val="16"/>
                <w:lang w:val="en-US"/>
              </w:rPr>
              <w:t>units of other UCITS, including ETFs.</w:t>
            </w:r>
            <w:r w:rsidRPr="003C117C">
              <w:rPr>
                <w:sz w:val="16"/>
                <w:szCs w:val="16"/>
              </w:rPr>
              <w:t xml:space="preserve"> </w:t>
            </w:r>
            <w:r>
              <w:rPr>
                <w:rFonts w:ascii="Arial" w:hAnsi="Arial" w:cs="Arial"/>
                <w:sz w:val="16"/>
                <w:szCs w:val="16"/>
                <w:lang w:val="en-US"/>
              </w:rPr>
              <w:t>Such UCITS ETFs may embed FDI.</w:t>
            </w:r>
          </w:p>
          <w:p w14:paraId="1088EB9C" w14:textId="77777777" w:rsidR="00EC57D6" w:rsidRPr="003C117C" w:rsidRDefault="00EC57D6" w:rsidP="00851231">
            <w:pPr>
              <w:spacing w:after="0" w:line="240" w:lineRule="auto"/>
              <w:jc w:val="both"/>
              <w:rPr>
                <w:rFonts w:ascii="Arial" w:hAnsi="Arial" w:cs="Arial"/>
                <w:sz w:val="16"/>
                <w:szCs w:val="16"/>
                <w:lang w:val="en-US"/>
              </w:rPr>
            </w:pPr>
          </w:p>
          <w:p w14:paraId="03466FEA" w14:textId="38ED072C" w:rsidR="00B642D9" w:rsidRDefault="00B642D9" w:rsidP="003C117C">
            <w:pPr>
              <w:spacing w:after="0" w:line="240" w:lineRule="auto"/>
              <w:jc w:val="both"/>
              <w:rPr>
                <w:rFonts w:ascii="Arial" w:hAnsi="Arial" w:cs="Arial"/>
                <w:sz w:val="16"/>
                <w:szCs w:val="16"/>
                <w:lang w:val="en-US"/>
              </w:rPr>
            </w:pPr>
            <w:r w:rsidRPr="003C117C">
              <w:rPr>
                <w:rFonts w:ascii="Arial" w:hAnsi="Arial" w:cs="Arial"/>
                <w:sz w:val="16"/>
                <w:szCs w:val="16"/>
                <w:lang w:val="en-US"/>
              </w:rPr>
              <w:t>The Fund may use exchanged traded derivatives for hedging</w:t>
            </w:r>
            <w:r w:rsidR="005F0C81" w:rsidRPr="003C117C">
              <w:rPr>
                <w:rFonts w:ascii="Arial" w:hAnsi="Arial" w:cs="Arial"/>
                <w:sz w:val="16"/>
                <w:szCs w:val="16"/>
                <w:lang w:val="en-US"/>
              </w:rPr>
              <w:t>, efficient portfolio management and investment</w:t>
            </w:r>
            <w:r w:rsidRPr="003C117C">
              <w:rPr>
                <w:rFonts w:ascii="Arial" w:hAnsi="Arial" w:cs="Arial"/>
                <w:sz w:val="16"/>
                <w:szCs w:val="16"/>
                <w:lang w:val="en-US"/>
              </w:rPr>
              <w:t xml:space="preserve"> purposes.</w:t>
            </w:r>
          </w:p>
          <w:p w14:paraId="1BCD873B" w14:textId="0FB018B6" w:rsidR="005C0223" w:rsidRPr="003C117C" w:rsidRDefault="005C0223" w:rsidP="003C117C">
            <w:pPr>
              <w:spacing w:after="0" w:line="240" w:lineRule="auto"/>
              <w:jc w:val="both"/>
              <w:rPr>
                <w:rFonts w:ascii="Arial" w:hAnsi="Arial" w:cs="Arial"/>
                <w:sz w:val="16"/>
                <w:szCs w:val="16"/>
                <w:lang w:val="en-US"/>
              </w:rPr>
            </w:pPr>
          </w:p>
          <w:p w14:paraId="6016CCDC" w14:textId="4BEBC47C" w:rsidR="003C117C" w:rsidRDefault="00851231" w:rsidP="003C117C">
            <w:pPr>
              <w:spacing w:after="0" w:line="240" w:lineRule="auto"/>
              <w:jc w:val="both"/>
              <w:rPr>
                <w:rFonts w:ascii="Arial" w:hAnsi="Arial" w:cs="Arial"/>
                <w:sz w:val="16"/>
                <w:szCs w:val="16"/>
                <w:lang w:val="en-US"/>
              </w:rPr>
            </w:pPr>
            <w:r>
              <w:rPr>
                <w:rFonts w:ascii="Arial" w:hAnsi="Arial" w:cs="Arial"/>
                <w:sz w:val="16"/>
                <w:szCs w:val="16"/>
                <w:lang w:val="en-US"/>
              </w:rPr>
              <w:t>After the completion of a top-down and bottom up approach, t</w:t>
            </w:r>
            <w:r w:rsidR="005C0223">
              <w:rPr>
                <w:rFonts w:ascii="Arial" w:hAnsi="Arial" w:cs="Arial"/>
                <w:sz w:val="16"/>
                <w:szCs w:val="16"/>
                <w:lang w:val="en-US"/>
              </w:rPr>
              <w:t>he Manager, as advised by the</w:t>
            </w:r>
            <w:r>
              <w:rPr>
                <w:rFonts w:ascii="Arial" w:hAnsi="Arial" w:cs="Arial"/>
                <w:sz w:val="16"/>
                <w:szCs w:val="16"/>
                <w:lang w:val="en-US"/>
              </w:rPr>
              <w:t xml:space="preserve"> Investment Adviser, then determines the</w:t>
            </w:r>
            <w:r w:rsidR="005C0223">
              <w:rPr>
                <w:rFonts w:ascii="Arial" w:hAnsi="Arial" w:cs="Arial"/>
                <w:sz w:val="16"/>
                <w:szCs w:val="16"/>
                <w:lang w:val="en-US"/>
              </w:rPr>
              <w:t xml:space="preserve"> </w:t>
            </w:r>
            <w:r w:rsidR="005C0223" w:rsidRPr="005C0223">
              <w:rPr>
                <w:rFonts w:ascii="Arial" w:hAnsi="Arial" w:cs="Arial"/>
                <w:sz w:val="16"/>
                <w:szCs w:val="16"/>
                <w:lang w:val="en-US"/>
              </w:rPr>
              <w:t>investment opportunities based on a systematic trading model via algorithmic trading strategies that are common to all asset classes</w:t>
            </w:r>
            <w:r>
              <w:rPr>
                <w:rFonts w:ascii="Arial" w:hAnsi="Arial" w:cs="Arial"/>
                <w:sz w:val="16"/>
                <w:szCs w:val="16"/>
                <w:lang w:val="en-US"/>
              </w:rPr>
              <w:t xml:space="preserve">. The </w:t>
            </w:r>
            <w:r w:rsidRPr="00851231">
              <w:rPr>
                <w:rFonts w:ascii="Arial" w:hAnsi="Arial" w:cs="Arial"/>
                <w:sz w:val="16"/>
                <w:szCs w:val="16"/>
                <w:lang w:val="en-US"/>
              </w:rPr>
              <w:t>proprietary trading system</w:t>
            </w:r>
            <w:r>
              <w:rPr>
                <w:rFonts w:ascii="Arial" w:hAnsi="Arial" w:cs="Arial"/>
                <w:sz w:val="16"/>
                <w:szCs w:val="16"/>
                <w:lang w:val="en-US"/>
              </w:rPr>
              <w:t xml:space="preserve"> </w:t>
            </w:r>
            <w:proofErr w:type="gramStart"/>
            <w:r>
              <w:rPr>
                <w:rFonts w:ascii="Arial" w:hAnsi="Arial" w:cs="Arial"/>
                <w:sz w:val="16"/>
                <w:szCs w:val="16"/>
                <w:lang w:val="en-US"/>
              </w:rPr>
              <w:t>is</w:t>
            </w:r>
            <w:r w:rsidRPr="00851231">
              <w:rPr>
                <w:rFonts w:ascii="Arial" w:hAnsi="Arial" w:cs="Arial"/>
                <w:sz w:val="16"/>
                <w:szCs w:val="16"/>
                <w:lang w:val="en-US"/>
              </w:rPr>
              <w:t xml:space="preserve"> based</w:t>
            </w:r>
            <w:proofErr w:type="gramEnd"/>
            <w:r w:rsidRPr="00851231">
              <w:rPr>
                <w:rFonts w:ascii="Arial" w:hAnsi="Arial" w:cs="Arial"/>
                <w:sz w:val="16"/>
                <w:szCs w:val="16"/>
                <w:lang w:val="en-US"/>
              </w:rPr>
              <w:t xml:space="preserve"> on 3 main drivers: </w:t>
            </w:r>
            <w:r>
              <w:rPr>
                <w:rFonts w:ascii="Arial" w:hAnsi="Arial" w:cs="Arial"/>
                <w:sz w:val="16"/>
                <w:szCs w:val="16"/>
                <w:lang w:val="en-US"/>
              </w:rPr>
              <w:t>q</w:t>
            </w:r>
            <w:r w:rsidRPr="00851231">
              <w:rPr>
                <w:rFonts w:ascii="Arial" w:hAnsi="Arial" w:cs="Arial"/>
                <w:sz w:val="16"/>
                <w:szCs w:val="16"/>
                <w:lang w:val="en-US"/>
              </w:rPr>
              <w:t>uantitative analysis, algorithmic programs, and big-data results in order to obtain a predictive model relating to investment opportunities for capital preservation and growth</w:t>
            </w:r>
            <w:r>
              <w:rPr>
                <w:rFonts w:ascii="Arial" w:hAnsi="Arial" w:cs="Arial"/>
                <w:sz w:val="16"/>
                <w:szCs w:val="16"/>
                <w:lang w:val="en-US"/>
              </w:rPr>
              <w:t>.</w:t>
            </w:r>
          </w:p>
          <w:p w14:paraId="4C156F95" w14:textId="5309E9D4" w:rsidR="003C117C" w:rsidRPr="003C117C" w:rsidRDefault="003C117C" w:rsidP="003C117C">
            <w:pPr>
              <w:spacing w:after="0" w:line="240" w:lineRule="auto"/>
              <w:jc w:val="both"/>
              <w:rPr>
                <w:rFonts w:ascii="Arial" w:hAnsi="Arial" w:cs="Arial"/>
                <w:sz w:val="16"/>
                <w:szCs w:val="16"/>
                <w:lang w:val="en-US"/>
              </w:rPr>
            </w:pPr>
          </w:p>
          <w:p w14:paraId="786CA3B7" w14:textId="2A8B7C8B" w:rsidR="00B642D9" w:rsidRPr="003C117C" w:rsidRDefault="00B642D9" w:rsidP="003C117C">
            <w:pPr>
              <w:spacing w:after="0" w:line="240" w:lineRule="auto"/>
              <w:jc w:val="both"/>
              <w:rPr>
                <w:rFonts w:ascii="Arial" w:hAnsi="Arial" w:cs="Arial"/>
                <w:sz w:val="16"/>
                <w:szCs w:val="16"/>
                <w:lang w:val="en-US"/>
              </w:rPr>
            </w:pPr>
            <w:r w:rsidRPr="003C117C">
              <w:rPr>
                <w:rFonts w:ascii="Arial" w:hAnsi="Arial" w:cs="Arial"/>
                <w:sz w:val="16"/>
                <w:szCs w:val="16"/>
                <w:lang w:val="en-US"/>
              </w:rPr>
              <w:t>You can buy and sell shares in the Fund on any Business Day.</w:t>
            </w:r>
          </w:p>
          <w:p w14:paraId="7150FC6D" w14:textId="77777777" w:rsidR="003C117C" w:rsidRDefault="003C117C" w:rsidP="003C117C">
            <w:pPr>
              <w:spacing w:after="0" w:line="240" w:lineRule="auto"/>
              <w:jc w:val="both"/>
              <w:rPr>
                <w:rFonts w:ascii="Arial" w:hAnsi="Arial" w:cs="Arial"/>
                <w:sz w:val="16"/>
                <w:szCs w:val="16"/>
                <w:lang w:val="en-US"/>
              </w:rPr>
            </w:pPr>
          </w:p>
          <w:p w14:paraId="7AD196DE" w14:textId="77777777" w:rsidR="00B642D9" w:rsidRPr="003C117C" w:rsidRDefault="00B642D9" w:rsidP="003C117C">
            <w:pPr>
              <w:spacing w:after="0" w:line="240" w:lineRule="auto"/>
              <w:jc w:val="both"/>
              <w:rPr>
                <w:rFonts w:ascii="Arial" w:hAnsi="Arial" w:cs="Arial"/>
                <w:sz w:val="16"/>
                <w:szCs w:val="16"/>
                <w:lang w:val="en-US"/>
              </w:rPr>
            </w:pPr>
            <w:r w:rsidRPr="003C117C">
              <w:rPr>
                <w:rFonts w:ascii="Arial" w:hAnsi="Arial" w:cs="Arial"/>
                <w:sz w:val="16"/>
                <w:szCs w:val="16"/>
                <w:lang w:val="en-US"/>
              </w:rPr>
              <w:t xml:space="preserve">The </w:t>
            </w:r>
            <w:r w:rsidR="00C40AAE" w:rsidRPr="003C117C">
              <w:rPr>
                <w:rFonts w:ascii="Arial" w:hAnsi="Arial" w:cs="Arial"/>
                <w:sz w:val="16"/>
                <w:szCs w:val="16"/>
                <w:lang w:val="en-US"/>
              </w:rPr>
              <w:t>Share Class is an accumulating share c</w:t>
            </w:r>
            <w:r w:rsidRPr="003C117C">
              <w:rPr>
                <w:rFonts w:ascii="Arial" w:hAnsi="Arial" w:cs="Arial"/>
                <w:sz w:val="16"/>
                <w:szCs w:val="16"/>
                <w:lang w:val="en-US"/>
              </w:rPr>
              <w:t xml:space="preserve">lass. Income from the Fund’s investments </w:t>
            </w:r>
            <w:proofErr w:type="gramStart"/>
            <w:r w:rsidRPr="003C117C">
              <w:rPr>
                <w:rFonts w:ascii="Arial" w:hAnsi="Arial" w:cs="Arial"/>
                <w:sz w:val="16"/>
                <w:szCs w:val="16"/>
                <w:lang w:val="en-US"/>
              </w:rPr>
              <w:t>will be accumulated and reinvested</w:t>
            </w:r>
            <w:proofErr w:type="gramEnd"/>
            <w:r w:rsidRPr="003C117C">
              <w:rPr>
                <w:rFonts w:ascii="Arial" w:hAnsi="Arial" w:cs="Arial"/>
                <w:sz w:val="16"/>
                <w:szCs w:val="16"/>
                <w:lang w:val="en-US"/>
              </w:rPr>
              <w:t>.</w:t>
            </w:r>
          </w:p>
          <w:p w14:paraId="02C95396" w14:textId="77777777" w:rsidR="003C117C" w:rsidRDefault="003C117C" w:rsidP="003C117C">
            <w:pPr>
              <w:spacing w:after="0" w:line="240" w:lineRule="auto"/>
              <w:jc w:val="both"/>
              <w:rPr>
                <w:rFonts w:ascii="Arial" w:hAnsi="Arial" w:cs="Arial"/>
                <w:sz w:val="16"/>
                <w:szCs w:val="16"/>
                <w:lang w:val="en-US"/>
              </w:rPr>
            </w:pPr>
          </w:p>
          <w:p w14:paraId="585A9388" w14:textId="5705A5E8" w:rsidR="003C117C" w:rsidRDefault="00B642D9" w:rsidP="003C117C">
            <w:pPr>
              <w:spacing w:after="0" w:line="240" w:lineRule="auto"/>
              <w:jc w:val="both"/>
              <w:rPr>
                <w:rFonts w:ascii="Arial" w:hAnsi="Arial" w:cs="Arial"/>
                <w:sz w:val="16"/>
                <w:szCs w:val="16"/>
                <w:lang w:val="en-US"/>
              </w:rPr>
            </w:pPr>
            <w:r w:rsidRPr="003C117C">
              <w:rPr>
                <w:rFonts w:ascii="Arial" w:hAnsi="Arial" w:cs="Arial"/>
                <w:sz w:val="16"/>
                <w:szCs w:val="16"/>
                <w:lang w:val="en-US"/>
              </w:rPr>
              <w:t>Recommendation</w:t>
            </w:r>
            <w:r w:rsidRPr="003C117C">
              <w:rPr>
                <w:rFonts w:ascii="Arial" w:hAnsi="Arial" w:cs="Arial"/>
                <w:b/>
                <w:sz w:val="16"/>
                <w:szCs w:val="16"/>
                <w:lang w:val="en-US"/>
              </w:rPr>
              <w:t xml:space="preserve">: </w:t>
            </w:r>
            <w:r w:rsidR="00851231" w:rsidRPr="00851231">
              <w:rPr>
                <w:rFonts w:ascii="Arial" w:hAnsi="Arial" w:cs="Arial"/>
                <w:sz w:val="16"/>
                <w:szCs w:val="16"/>
                <w:lang w:val="en-US"/>
              </w:rPr>
              <w:t>The Fund is a suitable investment for investors who are seeking long-term growth potential offered through investments in securities (either directly or indirectly through FDIs) transacted on a global scale</w:t>
            </w:r>
          </w:p>
          <w:p w14:paraId="4FD6F953" w14:textId="77777777" w:rsidR="003C117C" w:rsidRDefault="003C117C" w:rsidP="003C117C">
            <w:pPr>
              <w:spacing w:after="0" w:line="240" w:lineRule="auto"/>
              <w:jc w:val="both"/>
              <w:rPr>
                <w:rFonts w:ascii="Arial" w:hAnsi="Arial" w:cs="Arial"/>
                <w:sz w:val="16"/>
                <w:szCs w:val="16"/>
                <w:lang w:val="en-US"/>
              </w:rPr>
            </w:pPr>
          </w:p>
          <w:p w14:paraId="5B1CE1A9" w14:textId="25DAA41F" w:rsidR="00B642D9" w:rsidRPr="003C117C" w:rsidRDefault="00D64362" w:rsidP="003C117C">
            <w:pPr>
              <w:spacing w:after="0" w:line="240" w:lineRule="auto"/>
              <w:jc w:val="both"/>
              <w:rPr>
                <w:rFonts w:ascii="Arial" w:hAnsi="Arial" w:cs="Arial"/>
                <w:sz w:val="16"/>
                <w:szCs w:val="16"/>
                <w:lang w:val="en-US"/>
              </w:rPr>
            </w:pPr>
            <w:r w:rsidRPr="003C117C">
              <w:rPr>
                <w:rFonts w:ascii="Arial" w:hAnsi="Arial" w:cs="Arial"/>
                <w:sz w:val="16"/>
                <w:szCs w:val="16"/>
                <w:lang w:val="en-US"/>
              </w:rPr>
              <w:t xml:space="preserve">For further </w:t>
            </w:r>
            <w:proofErr w:type="gramStart"/>
            <w:r w:rsidRPr="003C117C">
              <w:rPr>
                <w:rFonts w:ascii="Arial" w:hAnsi="Arial" w:cs="Arial"/>
                <w:sz w:val="16"/>
                <w:szCs w:val="16"/>
                <w:lang w:val="en-US"/>
              </w:rPr>
              <w:t>information</w:t>
            </w:r>
            <w:proofErr w:type="gramEnd"/>
            <w:r w:rsidRPr="003C117C">
              <w:rPr>
                <w:rFonts w:ascii="Arial" w:hAnsi="Arial" w:cs="Arial"/>
                <w:sz w:val="16"/>
                <w:szCs w:val="16"/>
                <w:lang w:val="en-US"/>
              </w:rPr>
              <w:t xml:space="preserve"> please see the “Investment Objective” and “Investment Policy” sections of the Prospectus and the Fund Supplement.</w:t>
            </w:r>
          </w:p>
          <w:p w14:paraId="6D6C7337" w14:textId="77777777" w:rsidR="006677C5" w:rsidRPr="006677C5" w:rsidRDefault="006677C5" w:rsidP="006677C5">
            <w:pPr>
              <w:pStyle w:val="ListParagraph"/>
              <w:spacing w:line="240" w:lineRule="auto"/>
              <w:jc w:val="both"/>
              <w:rPr>
                <w:rFonts w:ascii="Arial" w:hAnsi="Arial" w:cs="Arial"/>
                <w:b/>
                <w:sz w:val="16"/>
                <w:szCs w:val="16"/>
                <w:lang w:val="en-US"/>
              </w:rPr>
            </w:pPr>
          </w:p>
        </w:tc>
      </w:tr>
    </w:tbl>
    <w:p w14:paraId="5C9A6108" w14:textId="77777777" w:rsidR="00B642D9" w:rsidRPr="006677C5" w:rsidRDefault="00B642D9" w:rsidP="00B642D9">
      <w:pPr>
        <w:spacing w:after="0" w:line="240" w:lineRule="auto"/>
        <w:jc w:val="both"/>
        <w:rPr>
          <w:rFonts w:ascii="Arial" w:hAnsi="Arial" w:cs="Arial"/>
          <w:b/>
          <w:sz w:val="16"/>
          <w:szCs w:val="16"/>
          <w:lang w:val="en-US"/>
        </w:rPr>
      </w:pPr>
    </w:p>
    <w:tbl>
      <w:tblPr>
        <w:tblStyle w:val="TableGrid"/>
        <w:tblW w:w="9180" w:type="dxa"/>
        <w:tblLook w:val="04A0" w:firstRow="1" w:lastRow="0" w:firstColumn="1" w:lastColumn="0" w:noHBand="0" w:noVBand="1"/>
      </w:tblPr>
      <w:tblGrid>
        <w:gridCol w:w="4360"/>
        <w:gridCol w:w="4820"/>
      </w:tblGrid>
      <w:tr w:rsidR="00B642D9" w:rsidRPr="006677C5" w14:paraId="719407FA" w14:textId="77777777" w:rsidTr="006677C5">
        <w:tc>
          <w:tcPr>
            <w:tcW w:w="4360" w:type="dxa"/>
          </w:tcPr>
          <w:p w14:paraId="29896505" w14:textId="77777777" w:rsidR="00B642D9" w:rsidRPr="006677C5" w:rsidRDefault="00B642D9" w:rsidP="00F1686A">
            <w:pPr>
              <w:spacing w:line="240" w:lineRule="auto"/>
              <w:rPr>
                <w:rFonts w:ascii="Arial" w:hAnsi="Arial" w:cs="Arial"/>
                <w:b/>
                <w:sz w:val="16"/>
                <w:szCs w:val="16"/>
                <w:lang w:val="en-US"/>
              </w:rPr>
            </w:pPr>
            <w:r w:rsidRPr="006677C5">
              <w:rPr>
                <w:rFonts w:ascii="Arial" w:hAnsi="Arial" w:cs="Arial"/>
                <w:b/>
                <w:sz w:val="16"/>
                <w:szCs w:val="16"/>
                <w:lang w:val="en-US"/>
              </w:rPr>
              <w:t>RISK AND REWARD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590"/>
              <w:gridCol w:w="591"/>
              <w:gridCol w:w="591"/>
              <w:gridCol w:w="591"/>
              <w:gridCol w:w="591"/>
              <w:gridCol w:w="591"/>
            </w:tblGrid>
            <w:tr w:rsidR="00B642D9" w:rsidRPr="006677C5" w14:paraId="4C190BF4" w14:textId="77777777" w:rsidTr="00813C86">
              <w:tc>
                <w:tcPr>
                  <w:tcW w:w="728" w:type="dxa"/>
                  <w:shd w:val="clear" w:color="auto" w:fill="auto"/>
                  <w:vAlign w:val="center"/>
                </w:tcPr>
                <w:p w14:paraId="16F546FD" w14:textId="77777777" w:rsidR="00B642D9" w:rsidRPr="006677C5" w:rsidRDefault="00B642D9" w:rsidP="00F1686A">
                  <w:pPr>
                    <w:spacing w:line="240" w:lineRule="auto"/>
                    <w:jc w:val="center"/>
                    <w:rPr>
                      <w:rFonts w:ascii="Arial" w:hAnsi="Arial" w:cs="Arial"/>
                      <w:sz w:val="16"/>
                      <w:szCs w:val="16"/>
                    </w:rPr>
                  </w:pPr>
                  <w:r w:rsidRPr="006677C5">
                    <w:rPr>
                      <w:rFonts w:ascii="Arial" w:hAnsi="Arial" w:cs="Arial"/>
                      <w:sz w:val="16"/>
                      <w:szCs w:val="16"/>
                    </w:rPr>
                    <w:t>1</w:t>
                  </w:r>
                </w:p>
              </w:tc>
              <w:tc>
                <w:tcPr>
                  <w:tcW w:w="729" w:type="dxa"/>
                  <w:shd w:val="clear" w:color="auto" w:fill="auto"/>
                  <w:vAlign w:val="center"/>
                </w:tcPr>
                <w:p w14:paraId="5AB1070A" w14:textId="77777777" w:rsidR="00B642D9" w:rsidRPr="006677C5" w:rsidRDefault="00B642D9" w:rsidP="00F1686A">
                  <w:pPr>
                    <w:spacing w:line="240" w:lineRule="auto"/>
                    <w:jc w:val="center"/>
                    <w:rPr>
                      <w:rFonts w:ascii="Arial" w:hAnsi="Arial" w:cs="Arial"/>
                      <w:sz w:val="16"/>
                      <w:szCs w:val="16"/>
                    </w:rPr>
                  </w:pPr>
                  <w:r w:rsidRPr="006677C5">
                    <w:rPr>
                      <w:rFonts w:ascii="Arial" w:hAnsi="Arial" w:cs="Arial"/>
                      <w:sz w:val="16"/>
                      <w:szCs w:val="16"/>
                    </w:rPr>
                    <w:t>2</w:t>
                  </w:r>
                </w:p>
              </w:tc>
              <w:tc>
                <w:tcPr>
                  <w:tcW w:w="729" w:type="dxa"/>
                  <w:shd w:val="clear" w:color="auto" w:fill="A6A6A6" w:themeFill="background1" w:themeFillShade="A6"/>
                  <w:vAlign w:val="center"/>
                </w:tcPr>
                <w:p w14:paraId="5467EE23" w14:textId="77777777" w:rsidR="00B642D9" w:rsidRPr="006677C5" w:rsidRDefault="00B642D9" w:rsidP="00F1686A">
                  <w:pPr>
                    <w:spacing w:line="240" w:lineRule="auto"/>
                    <w:jc w:val="center"/>
                    <w:rPr>
                      <w:rFonts w:ascii="Arial" w:hAnsi="Arial" w:cs="Arial"/>
                      <w:sz w:val="16"/>
                      <w:szCs w:val="16"/>
                    </w:rPr>
                  </w:pPr>
                  <w:r w:rsidRPr="006677C5">
                    <w:rPr>
                      <w:rFonts w:ascii="Arial" w:hAnsi="Arial" w:cs="Arial"/>
                      <w:sz w:val="16"/>
                      <w:szCs w:val="16"/>
                    </w:rPr>
                    <w:t>3</w:t>
                  </w:r>
                </w:p>
              </w:tc>
              <w:tc>
                <w:tcPr>
                  <w:tcW w:w="729" w:type="dxa"/>
                  <w:shd w:val="clear" w:color="auto" w:fill="auto"/>
                  <w:vAlign w:val="center"/>
                </w:tcPr>
                <w:p w14:paraId="322796F2" w14:textId="77777777" w:rsidR="00B642D9" w:rsidRPr="006677C5" w:rsidRDefault="00B642D9" w:rsidP="00F1686A">
                  <w:pPr>
                    <w:spacing w:line="240" w:lineRule="auto"/>
                    <w:jc w:val="center"/>
                    <w:rPr>
                      <w:rFonts w:ascii="Arial" w:hAnsi="Arial" w:cs="Arial"/>
                      <w:sz w:val="16"/>
                      <w:szCs w:val="16"/>
                    </w:rPr>
                  </w:pPr>
                  <w:r w:rsidRPr="006677C5">
                    <w:rPr>
                      <w:rFonts w:ascii="Arial" w:hAnsi="Arial" w:cs="Arial"/>
                      <w:sz w:val="16"/>
                      <w:szCs w:val="16"/>
                    </w:rPr>
                    <w:t>4</w:t>
                  </w:r>
                </w:p>
              </w:tc>
              <w:tc>
                <w:tcPr>
                  <w:tcW w:w="729" w:type="dxa"/>
                  <w:shd w:val="clear" w:color="auto" w:fill="auto"/>
                  <w:vAlign w:val="center"/>
                </w:tcPr>
                <w:p w14:paraId="33D6A0C6" w14:textId="77777777" w:rsidR="00B642D9" w:rsidRPr="006677C5" w:rsidRDefault="00B642D9" w:rsidP="00F1686A">
                  <w:pPr>
                    <w:spacing w:line="240" w:lineRule="auto"/>
                    <w:jc w:val="center"/>
                    <w:rPr>
                      <w:rFonts w:ascii="Arial" w:hAnsi="Arial" w:cs="Arial"/>
                      <w:sz w:val="16"/>
                      <w:szCs w:val="16"/>
                    </w:rPr>
                  </w:pPr>
                  <w:r w:rsidRPr="006677C5">
                    <w:rPr>
                      <w:rFonts w:ascii="Arial" w:hAnsi="Arial" w:cs="Arial"/>
                      <w:sz w:val="16"/>
                      <w:szCs w:val="16"/>
                    </w:rPr>
                    <w:t>5</w:t>
                  </w:r>
                </w:p>
              </w:tc>
              <w:tc>
                <w:tcPr>
                  <w:tcW w:w="729" w:type="dxa"/>
                  <w:shd w:val="clear" w:color="auto" w:fill="auto"/>
                  <w:vAlign w:val="center"/>
                </w:tcPr>
                <w:p w14:paraId="4BE2A41F" w14:textId="77777777" w:rsidR="00B642D9" w:rsidRPr="006677C5" w:rsidRDefault="00B642D9" w:rsidP="00F1686A">
                  <w:pPr>
                    <w:spacing w:line="240" w:lineRule="auto"/>
                    <w:jc w:val="center"/>
                    <w:rPr>
                      <w:rFonts w:ascii="Arial" w:hAnsi="Arial" w:cs="Arial"/>
                      <w:sz w:val="16"/>
                      <w:szCs w:val="16"/>
                    </w:rPr>
                  </w:pPr>
                  <w:r w:rsidRPr="006677C5">
                    <w:rPr>
                      <w:rFonts w:ascii="Arial" w:hAnsi="Arial" w:cs="Arial"/>
                      <w:sz w:val="16"/>
                      <w:szCs w:val="16"/>
                    </w:rPr>
                    <w:t>6</w:t>
                  </w:r>
                </w:p>
              </w:tc>
              <w:tc>
                <w:tcPr>
                  <w:tcW w:w="729" w:type="dxa"/>
                  <w:shd w:val="clear" w:color="auto" w:fill="auto"/>
                  <w:vAlign w:val="center"/>
                </w:tcPr>
                <w:p w14:paraId="50BF0B15" w14:textId="77777777" w:rsidR="00B642D9" w:rsidRPr="00EE2988" w:rsidRDefault="00B642D9" w:rsidP="00F1686A">
                  <w:pPr>
                    <w:spacing w:line="240" w:lineRule="auto"/>
                    <w:jc w:val="center"/>
                    <w:rPr>
                      <w:rFonts w:ascii="Arial" w:hAnsi="Arial" w:cs="Arial"/>
                      <w:b/>
                      <w:bCs/>
                      <w:sz w:val="16"/>
                      <w:szCs w:val="16"/>
                    </w:rPr>
                  </w:pPr>
                  <w:r w:rsidRPr="00EE2988">
                    <w:rPr>
                      <w:rFonts w:ascii="Arial" w:hAnsi="Arial" w:cs="Arial"/>
                      <w:b/>
                      <w:bCs/>
                      <w:sz w:val="16"/>
                      <w:szCs w:val="16"/>
                    </w:rPr>
                    <w:t>7</w:t>
                  </w:r>
                </w:p>
              </w:tc>
            </w:tr>
          </w:tbl>
          <w:p w14:paraId="77EC7BFC" w14:textId="77777777" w:rsidR="00B642D9" w:rsidRPr="006677C5" w:rsidRDefault="00B642D9" w:rsidP="00F1686A">
            <w:pPr>
              <w:spacing w:after="0" w:line="240" w:lineRule="auto"/>
              <w:rPr>
                <w:rFonts w:ascii="Arial" w:hAnsi="Arial" w:cs="Arial"/>
                <w:sz w:val="16"/>
                <w:szCs w:val="16"/>
                <w:lang w:val="en-US"/>
              </w:rPr>
            </w:pPr>
          </w:p>
          <w:p w14:paraId="465D6569" w14:textId="77777777" w:rsidR="00B642D9" w:rsidRPr="006677C5" w:rsidRDefault="00B642D9" w:rsidP="00F1686A">
            <w:pPr>
              <w:spacing w:after="0" w:line="240" w:lineRule="auto"/>
              <w:rPr>
                <w:rFonts w:ascii="Arial" w:hAnsi="Arial" w:cs="Arial"/>
                <w:sz w:val="16"/>
                <w:szCs w:val="16"/>
                <w:lang w:val="en-US"/>
              </w:rPr>
            </w:pPr>
            <w:r w:rsidRPr="006677C5">
              <w:rPr>
                <w:rFonts w:ascii="Arial" w:hAnsi="Arial" w:cs="Arial"/>
                <w:sz w:val="16"/>
                <w:szCs w:val="16"/>
                <w:lang w:val="en-US"/>
              </w:rPr>
              <w:t xml:space="preserve">Lower risk                                                 Higher risk                                       </w:t>
            </w:r>
          </w:p>
          <w:p w14:paraId="08085885" w14:textId="77777777" w:rsidR="00B642D9" w:rsidRPr="006677C5" w:rsidRDefault="00B642D9" w:rsidP="00F1686A">
            <w:pPr>
              <w:spacing w:after="0" w:line="240" w:lineRule="auto"/>
              <w:rPr>
                <w:rFonts w:ascii="Arial" w:hAnsi="Arial" w:cs="Arial"/>
                <w:sz w:val="16"/>
                <w:szCs w:val="16"/>
                <w:lang w:val="en-US"/>
              </w:rPr>
            </w:pPr>
            <w:r w:rsidRPr="006677C5">
              <w:rPr>
                <w:rFonts w:ascii="Arial" w:hAnsi="Arial" w:cs="Arial"/>
                <w:noProof/>
                <w:sz w:val="16"/>
                <w:szCs w:val="16"/>
                <w:lang w:eastAsia="en-IE"/>
              </w:rPr>
              <mc:AlternateContent>
                <mc:Choice Requires="wps">
                  <w:drawing>
                    <wp:anchor distT="4294967294" distB="4294967294" distL="114300" distR="114300" simplePos="0" relativeHeight="251659264" behindDoc="0" locked="0" layoutInCell="1" allowOverlap="1" wp14:anchorId="10563980" wp14:editId="56E8A091">
                      <wp:simplePos x="0" y="0"/>
                      <wp:positionH relativeFrom="column">
                        <wp:posOffset>224155</wp:posOffset>
                      </wp:positionH>
                      <wp:positionV relativeFrom="paragraph">
                        <wp:posOffset>111124</wp:posOffset>
                      </wp:positionV>
                      <wp:extent cx="2200275" cy="0"/>
                      <wp:effectExtent l="38100" t="76200" r="28575" b="1143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4579B8"/>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78579A" id="_x0000_t32" coordsize="21600,21600" o:spt="32" o:oned="t" path="m,l21600,21600e" filled="f">
                      <v:path arrowok="t" fillok="f" o:connecttype="none"/>
                      <o:lock v:ext="edit" shapetype="t"/>
                    </v:shapetype>
                    <v:shape id="Straight Arrow Connector 1" o:spid="_x0000_s1026" type="#_x0000_t32" style="position:absolute;margin-left:17.65pt;margin-top:8.75pt;width:173.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" strokecolor="#4579b8">
                      <v:stroke startarrow="open" endarrow="open"/>
                    </v:shape>
                  </w:pict>
                </mc:Fallback>
              </mc:AlternateContent>
            </w:r>
          </w:p>
          <w:p w14:paraId="4338A4F5" w14:textId="77777777" w:rsidR="00B642D9" w:rsidRPr="006677C5" w:rsidRDefault="00B642D9" w:rsidP="00F1686A">
            <w:pPr>
              <w:spacing w:after="0" w:line="240" w:lineRule="auto"/>
              <w:rPr>
                <w:rFonts w:ascii="Arial" w:hAnsi="Arial" w:cs="Arial"/>
                <w:sz w:val="16"/>
                <w:szCs w:val="16"/>
                <w:lang w:val="en-US"/>
              </w:rPr>
            </w:pPr>
          </w:p>
          <w:p w14:paraId="6F1D1F25" w14:textId="77777777" w:rsidR="00B642D9" w:rsidRPr="006677C5" w:rsidRDefault="00B642D9" w:rsidP="00F1686A">
            <w:pPr>
              <w:spacing w:after="0" w:line="240" w:lineRule="auto"/>
              <w:rPr>
                <w:rFonts w:ascii="Arial" w:hAnsi="Arial" w:cs="Arial"/>
                <w:sz w:val="16"/>
                <w:szCs w:val="16"/>
                <w:lang w:val="en-US"/>
              </w:rPr>
            </w:pPr>
            <w:r w:rsidRPr="006677C5">
              <w:rPr>
                <w:rFonts w:ascii="Arial" w:hAnsi="Arial" w:cs="Arial"/>
                <w:sz w:val="16"/>
                <w:szCs w:val="16"/>
                <w:lang w:val="en-US"/>
              </w:rPr>
              <w:t xml:space="preserve">Typically lower rewards     Typically higher rewards  </w:t>
            </w:r>
          </w:p>
          <w:p w14:paraId="4B40CDF8" w14:textId="77777777" w:rsidR="00B642D9" w:rsidRPr="006677C5" w:rsidRDefault="00B642D9" w:rsidP="00F1686A">
            <w:pPr>
              <w:spacing w:after="0" w:line="240" w:lineRule="auto"/>
              <w:rPr>
                <w:rFonts w:ascii="Arial" w:hAnsi="Arial" w:cs="Arial"/>
                <w:sz w:val="16"/>
                <w:szCs w:val="16"/>
                <w:lang w:val="en-US"/>
              </w:rPr>
            </w:pPr>
          </w:p>
          <w:p w14:paraId="443546BB" w14:textId="77777777" w:rsidR="008D0590" w:rsidRDefault="00B642D9" w:rsidP="008D0590">
            <w:pPr>
              <w:pStyle w:val="ListParagraph"/>
              <w:numPr>
                <w:ilvl w:val="0"/>
                <w:numId w:val="9"/>
              </w:numPr>
              <w:spacing w:after="0" w:line="240" w:lineRule="auto"/>
              <w:ind w:left="142" w:hanging="142"/>
              <w:jc w:val="both"/>
              <w:rPr>
                <w:rFonts w:ascii="Arial" w:hAnsi="Arial" w:cs="Arial"/>
                <w:sz w:val="16"/>
                <w:szCs w:val="16"/>
                <w:lang w:val="en-US"/>
              </w:rPr>
            </w:pPr>
            <w:r w:rsidRPr="006677C5">
              <w:rPr>
                <w:rFonts w:ascii="Arial" w:hAnsi="Arial" w:cs="Arial"/>
                <w:sz w:val="16"/>
                <w:szCs w:val="16"/>
                <w:lang w:val="en-US"/>
              </w:rPr>
              <w:t xml:space="preserve">Category 1 does not mean a risk free investment. </w:t>
            </w:r>
          </w:p>
          <w:p w14:paraId="3CBF2EC8" w14:textId="6B3BA142" w:rsidR="00B642D9" w:rsidRPr="008D0590" w:rsidRDefault="00363955" w:rsidP="008D0590">
            <w:pPr>
              <w:pStyle w:val="ListParagraph"/>
              <w:numPr>
                <w:ilvl w:val="0"/>
                <w:numId w:val="9"/>
              </w:numPr>
              <w:spacing w:after="0" w:line="240" w:lineRule="auto"/>
              <w:ind w:left="142" w:hanging="142"/>
              <w:jc w:val="both"/>
              <w:rPr>
                <w:rFonts w:ascii="Arial" w:hAnsi="Arial" w:cs="Arial"/>
                <w:sz w:val="16"/>
                <w:szCs w:val="16"/>
                <w:lang w:val="en-US"/>
              </w:rPr>
            </w:pPr>
            <w:proofErr w:type="gramStart"/>
            <w:r w:rsidRPr="00363955">
              <w:rPr>
                <w:rFonts w:ascii="Arial" w:hAnsi="Arial" w:cs="Arial"/>
                <w:sz w:val="16"/>
                <w:szCs w:val="16"/>
                <w:lang w:val="en-US"/>
              </w:rPr>
              <w:t>The risk indicator for the Fund is set at 3 because of the high level of discretion of the Manager, the proposed investment in securities associated in the past to have a high risk level and the Fund’s use of derivatives.</w:t>
            </w:r>
            <w:r w:rsidR="00B642D9" w:rsidRPr="008D0590">
              <w:rPr>
                <w:rFonts w:ascii="Arial" w:hAnsi="Arial" w:cs="Arial"/>
                <w:sz w:val="16"/>
                <w:szCs w:val="16"/>
              </w:rPr>
              <w:t xml:space="preserve">The risk category was calculated using simulated historical performance data and it </w:t>
            </w:r>
            <w:r w:rsidR="00B642D9" w:rsidRPr="008D0590">
              <w:rPr>
                <w:rFonts w:ascii="Arial" w:hAnsi="Arial" w:cs="Arial"/>
                <w:sz w:val="16"/>
                <w:szCs w:val="16"/>
                <w:lang w:val="en-US"/>
              </w:rPr>
              <w:t>may not be a reliable indicator of the future risk profile of the Fund.</w:t>
            </w:r>
            <w:proofErr w:type="gramEnd"/>
          </w:p>
          <w:p w14:paraId="0D72747E" w14:textId="77777777" w:rsidR="00B642D9" w:rsidRPr="006677C5" w:rsidRDefault="00B642D9" w:rsidP="00F1686A">
            <w:pPr>
              <w:pStyle w:val="ListParagraph"/>
              <w:numPr>
                <w:ilvl w:val="0"/>
                <w:numId w:val="9"/>
              </w:numPr>
              <w:spacing w:after="0" w:line="240" w:lineRule="auto"/>
              <w:ind w:left="142" w:hanging="142"/>
              <w:jc w:val="both"/>
              <w:rPr>
                <w:rFonts w:ascii="Arial" w:hAnsi="Arial" w:cs="Arial"/>
                <w:sz w:val="16"/>
                <w:szCs w:val="16"/>
                <w:lang w:val="en-US"/>
              </w:rPr>
            </w:pPr>
            <w:r w:rsidRPr="006677C5">
              <w:rPr>
                <w:rFonts w:ascii="Arial" w:hAnsi="Arial" w:cs="Arial"/>
                <w:sz w:val="16"/>
                <w:szCs w:val="16"/>
                <w:lang w:val="en-US"/>
              </w:rPr>
              <w:t xml:space="preserve">The risk and reward profile shown </w:t>
            </w:r>
            <w:proofErr w:type="gramStart"/>
            <w:r w:rsidRPr="006677C5">
              <w:rPr>
                <w:rFonts w:ascii="Arial" w:hAnsi="Arial" w:cs="Arial"/>
                <w:sz w:val="16"/>
                <w:szCs w:val="16"/>
                <w:lang w:val="en-US"/>
              </w:rPr>
              <w:t>is not guaranteed</w:t>
            </w:r>
            <w:proofErr w:type="gramEnd"/>
            <w:r w:rsidRPr="006677C5">
              <w:rPr>
                <w:rFonts w:ascii="Arial" w:hAnsi="Arial" w:cs="Arial"/>
                <w:sz w:val="16"/>
                <w:szCs w:val="16"/>
                <w:lang w:val="en-US"/>
              </w:rPr>
              <w:t xml:space="preserve"> to remain unchanged, and this categorization may shift over time.</w:t>
            </w:r>
          </w:p>
          <w:p w14:paraId="7AEBC456" w14:textId="77777777" w:rsidR="00B642D9" w:rsidRPr="006677C5" w:rsidRDefault="005A697F" w:rsidP="005A697F">
            <w:pPr>
              <w:spacing w:after="0" w:line="240" w:lineRule="auto"/>
              <w:jc w:val="both"/>
              <w:rPr>
                <w:rFonts w:ascii="Arial" w:hAnsi="Arial" w:cs="Arial"/>
                <w:sz w:val="16"/>
                <w:szCs w:val="16"/>
                <w:lang w:val="en-US"/>
              </w:rPr>
            </w:pPr>
            <w:r w:rsidRPr="006677C5">
              <w:rPr>
                <w:rFonts w:ascii="Arial" w:hAnsi="Arial" w:cs="Arial"/>
                <w:sz w:val="16"/>
                <w:szCs w:val="16"/>
              </w:rPr>
              <w:t>The Fund is also subject to the following risks which are not</w:t>
            </w:r>
          </w:p>
        </w:tc>
        <w:tc>
          <w:tcPr>
            <w:tcW w:w="4820" w:type="dxa"/>
          </w:tcPr>
          <w:p w14:paraId="41D80AC8" w14:textId="77777777" w:rsidR="00B642D9" w:rsidRPr="006677C5" w:rsidRDefault="00B642D9" w:rsidP="00F1686A">
            <w:pPr>
              <w:keepLines/>
              <w:spacing w:after="0" w:line="240" w:lineRule="auto"/>
              <w:jc w:val="both"/>
              <w:rPr>
                <w:rFonts w:ascii="Arial" w:hAnsi="Arial" w:cs="Arial"/>
                <w:sz w:val="16"/>
                <w:szCs w:val="16"/>
              </w:rPr>
            </w:pPr>
            <w:r w:rsidRPr="006677C5">
              <w:rPr>
                <w:rFonts w:ascii="Arial" w:hAnsi="Arial" w:cs="Arial"/>
                <w:sz w:val="16"/>
                <w:szCs w:val="16"/>
              </w:rPr>
              <w:t>included in the calculation of the risk-reward indicator:</w:t>
            </w:r>
          </w:p>
          <w:p w14:paraId="18227818" w14:textId="77777777" w:rsidR="00B642D9" w:rsidRPr="006677C5" w:rsidRDefault="00B642D9" w:rsidP="00F1686A">
            <w:pPr>
              <w:keepLines/>
              <w:spacing w:after="0" w:line="240" w:lineRule="auto"/>
              <w:jc w:val="both"/>
              <w:rPr>
                <w:rFonts w:ascii="Arial" w:hAnsi="Arial" w:cs="Arial"/>
                <w:b/>
                <w:sz w:val="16"/>
                <w:szCs w:val="16"/>
                <w:lang w:val="en-US"/>
              </w:rPr>
            </w:pPr>
            <w:r w:rsidRPr="006677C5">
              <w:rPr>
                <w:rFonts w:ascii="Arial" w:hAnsi="Arial" w:cs="Arial"/>
                <w:b/>
                <w:sz w:val="16"/>
                <w:szCs w:val="16"/>
                <w:lang w:val="en-US"/>
              </w:rPr>
              <w:t xml:space="preserve">Liquidity Risk: </w:t>
            </w:r>
            <w:r w:rsidRPr="006677C5">
              <w:rPr>
                <w:rFonts w:ascii="Arial" w:hAnsi="Arial" w:cs="Arial"/>
                <w:color w:val="000000"/>
                <w:sz w:val="16"/>
                <w:szCs w:val="16"/>
                <w:lang w:val="en-US"/>
              </w:rPr>
              <w:t xml:space="preserve">Certain investments are less liquid than </w:t>
            </w:r>
            <w:proofErr w:type="gramStart"/>
            <w:r w:rsidRPr="006677C5">
              <w:rPr>
                <w:rFonts w:ascii="Arial" w:hAnsi="Arial" w:cs="Arial"/>
                <w:color w:val="000000"/>
                <w:sz w:val="16"/>
                <w:szCs w:val="16"/>
                <w:lang w:val="en-US"/>
              </w:rPr>
              <w:t>others</w:t>
            </w:r>
            <w:proofErr w:type="gramEnd"/>
            <w:r w:rsidRPr="006677C5">
              <w:rPr>
                <w:rFonts w:ascii="Arial" w:hAnsi="Arial" w:cs="Arial"/>
                <w:color w:val="000000"/>
                <w:sz w:val="16"/>
                <w:szCs w:val="16"/>
                <w:lang w:val="en-US"/>
              </w:rPr>
              <w:t xml:space="preserve"> and may be more difficult to buy or sell in a timely fashion.</w:t>
            </w:r>
          </w:p>
          <w:p w14:paraId="4BD8A257" w14:textId="77777777" w:rsidR="00B642D9" w:rsidRDefault="00B642D9" w:rsidP="00F1686A">
            <w:pPr>
              <w:keepLines/>
              <w:spacing w:after="0" w:line="240" w:lineRule="auto"/>
              <w:jc w:val="both"/>
              <w:rPr>
                <w:rFonts w:ascii="Arial" w:hAnsi="Arial" w:cs="Arial"/>
                <w:sz w:val="16"/>
                <w:szCs w:val="16"/>
                <w:lang w:val="en-US"/>
              </w:rPr>
            </w:pPr>
            <w:r w:rsidRPr="006677C5">
              <w:rPr>
                <w:rFonts w:ascii="Arial" w:hAnsi="Arial" w:cs="Arial"/>
                <w:b/>
                <w:sz w:val="16"/>
                <w:szCs w:val="16"/>
                <w:lang w:val="en-US"/>
              </w:rPr>
              <w:t>Financial Techniques:</w:t>
            </w:r>
            <w:r w:rsidRPr="006677C5">
              <w:rPr>
                <w:rFonts w:ascii="Arial" w:hAnsi="Arial" w:cs="Arial"/>
                <w:sz w:val="16"/>
                <w:szCs w:val="16"/>
                <w:lang w:val="en-US"/>
              </w:rPr>
              <w:t xml:space="preserve"> The Fund may invest in a wide range of UCITS permissible securities and markets and may use derivatives for hedging and investment </w:t>
            </w:r>
            <w:proofErr w:type="gramStart"/>
            <w:r w:rsidRPr="006677C5">
              <w:rPr>
                <w:rFonts w:ascii="Arial" w:hAnsi="Arial" w:cs="Arial"/>
                <w:sz w:val="16"/>
                <w:szCs w:val="16"/>
                <w:lang w:val="en-US"/>
              </w:rPr>
              <w:t>purposes which may increase the risks</w:t>
            </w:r>
            <w:proofErr w:type="gramEnd"/>
            <w:r w:rsidRPr="006677C5">
              <w:rPr>
                <w:rFonts w:ascii="Arial" w:hAnsi="Arial" w:cs="Arial"/>
                <w:sz w:val="16"/>
                <w:szCs w:val="16"/>
                <w:lang w:val="en-US"/>
              </w:rPr>
              <w:t xml:space="preserve"> associated with the investment, adding counterparty risks, market risks and liquidity risks.</w:t>
            </w:r>
          </w:p>
          <w:p w14:paraId="3FFF29A1" w14:textId="7A7C28D5" w:rsidR="003C117C" w:rsidRDefault="003C117C" w:rsidP="00F1686A">
            <w:pPr>
              <w:keepLines/>
              <w:spacing w:after="0" w:line="240" w:lineRule="auto"/>
              <w:jc w:val="both"/>
              <w:rPr>
                <w:rFonts w:ascii="Arial" w:hAnsi="Arial" w:cs="Arial"/>
                <w:sz w:val="16"/>
                <w:szCs w:val="16"/>
                <w:lang w:val="en-US"/>
              </w:rPr>
            </w:pPr>
            <w:r w:rsidRPr="003C117C">
              <w:rPr>
                <w:rFonts w:ascii="Arial" w:hAnsi="Arial" w:cs="Arial"/>
                <w:b/>
                <w:sz w:val="16"/>
                <w:szCs w:val="16"/>
                <w:lang w:val="en-US"/>
              </w:rPr>
              <w:t>Derivatives Risk:</w:t>
            </w:r>
            <w:r>
              <w:t xml:space="preserve"> </w:t>
            </w:r>
            <w:r>
              <w:rPr>
                <w:rFonts w:ascii="Arial" w:hAnsi="Arial" w:cs="Arial"/>
                <w:sz w:val="16"/>
                <w:szCs w:val="16"/>
                <w:lang w:val="en-US"/>
              </w:rPr>
              <w:t>T</w:t>
            </w:r>
            <w:r w:rsidRPr="003C117C">
              <w:rPr>
                <w:rFonts w:ascii="Arial" w:hAnsi="Arial" w:cs="Arial"/>
                <w:sz w:val="16"/>
                <w:szCs w:val="16"/>
                <w:lang w:val="en-US"/>
              </w:rPr>
              <w:t xml:space="preserve">he Fund uses derivatives to generate returns and/or to reduce costs and </w:t>
            </w:r>
            <w:r>
              <w:rPr>
                <w:rFonts w:ascii="Arial" w:hAnsi="Arial" w:cs="Arial"/>
                <w:sz w:val="16"/>
                <w:szCs w:val="16"/>
                <w:lang w:val="en-US"/>
              </w:rPr>
              <w:t>risk</w:t>
            </w:r>
            <w:r w:rsidRPr="003C117C">
              <w:rPr>
                <w:rFonts w:ascii="Arial" w:hAnsi="Arial" w:cs="Arial"/>
                <w:sz w:val="16"/>
                <w:szCs w:val="16"/>
                <w:lang w:val="en-US"/>
              </w:rPr>
              <w:t>. Using derivatives can involve a higher level of risk. A small movement in the price of an underlying investment may result in a disproportionately large movement in the price of the derivative investment. Derivatives also involve risk w</w:t>
            </w:r>
            <w:r>
              <w:rPr>
                <w:rFonts w:ascii="Arial" w:hAnsi="Arial" w:cs="Arial"/>
                <w:sz w:val="16"/>
                <w:szCs w:val="16"/>
                <w:lang w:val="en-US"/>
              </w:rPr>
              <w:t xml:space="preserve">here the </w:t>
            </w:r>
            <w:r w:rsidRPr="003C117C">
              <w:rPr>
                <w:rFonts w:ascii="Arial" w:hAnsi="Arial" w:cs="Arial"/>
                <w:sz w:val="16"/>
                <w:szCs w:val="16"/>
                <w:lang w:val="en-US"/>
              </w:rPr>
              <w:t>counterparty to derivatives may not meet their contractual obligations.</w:t>
            </w:r>
          </w:p>
          <w:p w14:paraId="08375BE8" w14:textId="2D2E21B3" w:rsidR="003E7819" w:rsidRDefault="003E7819" w:rsidP="00F1686A">
            <w:pPr>
              <w:keepLines/>
              <w:spacing w:after="0" w:line="240" w:lineRule="auto"/>
              <w:jc w:val="both"/>
              <w:rPr>
                <w:rFonts w:ascii="Arial" w:hAnsi="Arial" w:cs="Arial"/>
                <w:bCs/>
                <w:sz w:val="16"/>
                <w:szCs w:val="16"/>
                <w:lang w:val="en-US"/>
              </w:rPr>
            </w:pPr>
            <w:r>
              <w:rPr>
                <w:rFonts w:ascii="Arial" w:hAnsi="Arial" w:cs="Arial"/>
                <w:b/>
                <w:sz w:val="16"/>
                <w:szCs w:val="16"/>
                <w:lang w:val="en-US"/>
              </w:rPr>
              <w:t xml:space="preserve">Operational Risk: </w:t>
            </w:r>
            <w:r>
              <w:rPr>
                <w:rFonts w:ascii="Arial" w:hAnsi="Arial" w:cs="Arial"/>
                <w:bCs/>
                <w:sz w:val="16"/>
                <w:szCs w:val="16"/>
                <w:lang w:val="en-US"/>
              </w:rPr>
              <w:t>There may be risks associated to the safekeeping of the assets by the Depositary and sub-custodians.</w:t>
            </w:r>
          </w:p>
          <w:p w14:paraId="5DCF946F" w14:textId="28774C4B" w:rsidR="003E7819" w:rsidRDefault="003E7819" w:rsidP="00F1686A">
            <w:pPr>
              <w:keepLines/>
              <w:spacing w:after="0" w:line="240" w:lineRule="auto"/>
              <w:jc w:val="both"/>
              <w:rPr>
                <w:rFonts w:ascii="Arial" w:hAnsi="Arial" w:cs="Arial"/>
                <w:bCs/>
                <w:sz w:val="16"/>
                <w:szCs w:val="16"/>
                <w:lang w:val="en-US"/>
              </w:rPr>
            </w:pPr>
            <w:r w:rsidRPr="00EE2988">
              <w:rPr>
                <w:rFonts w:ascii="Arial" w:hAnsi="Arial" w:cs="Arial"/>
                <w:b/>
                <w:sz w:val="16"/>
                <w:szCs w:val="16"/>
                <w:lang w:val="en-US"/>
              </w:rPr>
              <w:t>Counterparty Risk:</w:t>
            </w:r>
            <w:r>
              <w:rPr>
                <w:rFonts w:ascii="Arial" w:hAnsi="Arial" w:cs="Arial"/>
                <w:bCs/>
                <w:sz w:val="16"/>
                <w:szCs w:val="16"/>
                <w:lang w:val="en-US"/>
              </w:rPr>
              <w:t xml:space="preserve"> The Fund </w:t>
            </w:r>
            <w:proofErr w:type="gramStart"/>
            <w:r>
              <w:rPr>
                <w:rFonts w:ascii="Arial" w:hAnsi="Arial" w:cs="Arial"/>
                <w:bCs/>
                <w:sz w:val="16"/>
                <w:szCs w:val="16"/>
                <w:lang w:val="en-US"/>
              </w:rPr>
              <w:t>may be exposed</w:t>
            </w:r>
            <w:proofErr w:type="gramEnd"/>
            <w:r>
              <w:rPr>
                <w:rFonts w:ascii="Arial" w:hAnsi="Arial" w:cs="Arial"/>
                <w:bCs/>
                <w:sz w:val="16"/>
                <w:szCs w:val="16"/>
                <w:lang w:val="en-US"/>
              </w:rPr>
              <w:t xml:space="preserve"> to losses if the counterparty to a repurchase/reverse repurchase agreement does not fulfil its obligations.</w:t>
            </w:r>
          </w:p>
          <w:p w14:paraId="03B6915F" w14:textId="77777777" w:rsidR="003E7819" w:rsidRPr="00EE2988" w:rsidRDefault="003E7819" w:rsidP="00F1686A">
            <w:pPr>
              <w:keepLines/>
              <w:spacing w:after="0" w:line="240" w:lineRule="auto"/>
              <w:jc w:val="both"/>
              <w:rPr>
                <w:rFonts w:ascii="Arial" w:hAnsi="Arial" w:cs="Arial"/>
                <w:bCs/>
                <w:sz w:val="16"/>
                <w:szCs w:val="16"/>
                <w:lang w:val="en-US"/>
              </w:rPr>
            </w:pPr>
          </w:p>
          <w:p w14:paraId="3AECE65F" w14:textId="77777777" w:rsidR="003C117C" w:rsidRPr="006677C5" w:rsidRDefault="003C117C" w:rsidP="00F1686A">
            <w:pPr>
              <w:keepLines/>
              <w:spacing w:after="0" w:line="240" w:lineRule="auto"/>
              <w:jc w:val="both"/>
              <w:rPr>
                <w:rFonts w:ascii="Arial" w:hAnsi="Arial" w:cs="Arial"/>
                <w:b/>
                <w:sz w:val="16"/>
                <w:szCs w:val="16"/>
                <w:lang w:val="en-US"/>
              </w:rPr>
            </w:pPr>
          </w:p>
          <w:p w14:paraId="26DFC4F7" w14:textId="77777777" w:rsidR="00B642D9" w:rsidRPr="006677C5" w:rsidRDefault="00B642D9" w:rsidP="00F1686A">
            <w:pPr>
              <w:spacing w:line="240" w:lineRule="auto"/>
              <w:rPr>
                <w:rFonts w:ascii="Arial" w:hAnsi="Arial" w:cs="Arial"/>
                <w:b/>
                <w:sz w:val="16"/>
                <w:szCs w:val="16"/>
                <w:lang w:val="en-US"/>
              </w:rPr>
            </w:pPr>
            <w:r w:rsidRPr="006677C5">
              <w:rPr>
                <w:rFonts w:ascii="Arial" w:hAnsi="Arial" w:cs="Arial"/>
                <w:b/>
                <w:sz w:val="16"/>
                <w:szCs w:val="16"/>
                <w:lang w:val="en-US"/>
              </w:rPr>
              <w:lastRenderedPageBreak/>
              <w:t xml:space="preserve">A more detailed description of the risk factors that apply to the Fund is set out in the “Risk Factors” section of the Prospectus. </w:t>
            </w:r>
          </w:p>
        </w:tc>
      </w:tr>
    </w:tbl>
    <w:p w14:paraId="04F5007E" w14:textId="4BA8EB59" w:rsidR="006677C5" w:rsidRDefault="006677C5" w:rsidP="00B642D9">
      <w:pPr>
        <w:spacing w:after="0" w:line="240" w:lineRule="auto"/>
        <w:jc w:val="both"/>
        <w:rPr>
          <w:rFonts w:ascii="Arial" w:hAnsi="Arial" w:cs="Arial"/>
          <w:b/>
          <w:sz w:val="16"/>
          <w:szCs w:val="16"/>
          <w:lang w:val="en-US"/>
        </w:rPr>
      </w:pPr>
    </w:p>
    <w:p w14:paraId="462089B6" w14:textId="77777777" w:rsidR="006677C5" w:rsidRPr="006677C5" w:rsidRDefault="006677C5" w:rsidP="00B642D9">
      <w:pPr>
        <w:spacing w:after="0" w:line="240" w:lineRule="auto"/>
        <w:jc w:val="both"/>
        <w:rPr>
          <w:rFonts w:ascii="Arial" w:hAnsi="Arial" w:cs="Arial"/>
          <w:b/>
          <w:sz w:val="16"/>
          <w:szCs w:val="16"/>
          <w:lang w:val="en-US"/>
        </w:rPr>
      </w:pPr>
    </w:p>
    <w:tbl>
      <w:tblPr>
        <w:tblStyle w:val="TableGrid"/>
        <w:tblW w:w="9180" w:type="dxa"/>
        <w:tblLook w:val="04A0" w:firstRow="1" w:lastRow="0" w:firstColumn="1" w:lastColumn="0" w:noHBand="0" w:noVBand="1"/>
      </w:tblPr>
      <w:tblGrid>
        <w:gridCol w:w="4360"/>
        <w:gridCol w:w="4820"/>
      </w:tblGrid>
      <w:tr w:rsidR="00B642D9" w:rsidRPr="006677C5" w14:paraId="4F5062F2" w14:textId="77777777" w:rsidTr="006677C5">
        <w:tc>
          <w:tcPr>
            <w:tcW w:w="4360" w:type="dxa"/>
          </w:tcPr>
          <w:p w14:paraId="613D257F" w14:textId="77777777" w:rsidR="006677C5" w:rsidRDefault="006677C5" w:rsidP="00F1686A">
            <w:pPr>
              <w:spacing w:after="0" w:line="240" w:lineRule="auto"/>
              <w:rPr>
                <w:rFonts w:ascii="Arial" w:hAnsi="Arial" w:cs="Arial"/>
                <w:b/>
                <w:sz w:val="16"/>
                <w:szCs w:val="16"/>
                <w:lang w:val="en-US"/>
              </w:rPr>
            </w:pPr>
          </w:p>
          <w:p w14:paraId="26C830A7" w14:textId="77777777" w:rsidR="00B642D9" w:rsidRPr="006677C5" w:rsidRDefault="00B642D9" w:rsidP="00F1686A">
            <w:pPr>
              <w:spacing w:after="0" w:line="240" w:lineRule="auto"/>
              <w:rPr>
                <w:rFonts w:ascii="Arial" w:hAnsi="Arial" w:cs="Arial"/>
                <w:b/>
                <w:sz w:val="16"/>
                <w:szCs w:val="16"/>
                <w:lang w:val="en-US"/>
              </w:rPr>
            </w:pPr>
            <w:r w:rsidRPr="006677C5">
              <w:rPr>
                <w:rFonts w:ascii="Arial" w:hAnsi="Arial" w:cs="Arial"/>
                <w:b/>
                <w:sz w:val="16"/>
                <w:szCs w:val="16"/>
                <w:lang w:val="en-US"/>
              </w:rPr>
              <w:t>CHARGES FOR THIS FUND</w:t>
            </w:r>
          </w:p>
          <w:p w14:paraId="68FF493D" w14:textId="77777777" w:rsidR="00B642D9" w:rsidRPr="006677C5" w:rsidRDefault="00B642D9" w:rsidP="00F1686A">
            <w:pPr>
              <w:spacing w:after="0" w:line="240" w:lineRule="auto"/>
              <w:rPr>
                <w:rFonts w:ascii="Arial" w:hAnsi="Arial" w:cs="Arial"/>
                <w:b/>
                <w:sz w:val="16"/>
                <w:szCs w:val="16"/>
                <w:lang w:val="en-US"/>
              </w:rPr>
            </w:pPr>
          </w:p>
          <w:p w14:paraId="24A98972" w14:textId="77777777" w:rsidR="00B642D9" w:rsidRPr="006677C5" w:rsidRDefault="00B642D9" w:rsidP="00F1686A">
            <w:pPr>
              <w:spacing w:after="0" w:line="240" w:lineRule="auto"/>
              <w:jc w:val="both"/>
              <w:rPr>
                <w:rFonts w:ascii="Arial" w:hAnsi="Arial" w:cs="Arial"/>
                <w:sz w:val="16"/>
                <w:szCs w:val="16"/>
                <w:lang w:val="en-US"/>
              </w:rPr>
            </w:pPr>
            <w:r w:rsidRPr="006677C5">
              <w:rPr>
                <w:rFonts w:ascii="Arial" w:hAnsi="Arial" w:cs="Arial"/>
                <w:sz w:val="16"/>
                <w:szCs w:val="16"/>
                <w:lang w:val="en-US"/>
              </w:rPr>
              <w:t>The charges you pay are used to pay the costs of running the Fund, including the costs of marketing and distributing it. These charges reduce the potential growth of your investment</w:t>
            </w:r>
          </w:p>
          <w:p w14:paraId="170A9D8D" w14:textId="77777777" w:rsidR="00B642D9" w:rsidRPr="006677C5" w:rsidRDefault="00B642D9" w:rsidP="00F1686A">
            <w:pPr>
              <w:spacing w:after="0" w:line="240" w:lineRule="auto"/>
              <w:jc w:val="both"/>
              <w:rPr>
                <w:rFonts w:ascii="Arial" w:hAnsi="Arial" w:cs="Arial"/>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7"/>
              <w:gridCol w:w="2047"/>
            </w:tblGrid>
            <w:tr w:rsidR="00B642D9" w:rsidRPr="006677C5" w14:paraId="1077BC0B" w14:textId="77777777" w:rsidTr="00F1686A">
              <w:tc>
                <w:tcPr>
                  <w:tcW w:w="4134" w:type="dxa"/>
                  <w:gridSpan w:val="2"/>
                  <w:tcBorders>
                    <w:top w:val="single" w:sz="4" w:space="0" w:color="auto"/>
                    <w:left w:val="single" w:sz="4" w:space="0" w:color="auto"/>
                    <w:bottom w:val="single" w:sz="4" w:space="0" w:color="auto"/>
                    <w:right w:val="single" w:sz="4" w:space="0" w:color="auto"/>
                  </w:tcBorders>
                </w:tcPr>
                <w:p w14:paraId="0D4AFA79" w14:textId="77777777" w:rsidR="00B642D9" w:rsidRPr="006677C5" w:rsidRDefault="00B642D9" w:rsidP="00F1686A">
                  <w:pPr>
                    <w:spacing w:after="0" w:line="240" w:lineRule="auto"/>
                    <w:jc w:val="both"/>
                    <w:rPr>
                      <w:rFonts w:ascii="Arial" w:hAnsi="Arial" w:cs="Arial"/>
                      <w:b/>
                      <w:sz w:val="16"/>
                      <w:szCs w:val="16"/>
                      <w:lang w:val="en-US"/>
                    </w:rPr>
                  </w:pPr>
                  <w:r w:rsidRPr="006677C5">
                    <w:rPr>
                      <w:rFonts w:ascii="Arial" w:hAnsi="Arial" w:cs="Arial"/>
                      <w:b/>
                      <w:sz w:val="16"/>
                      <w:szCs w:val="16"/>
                      <w:lang w:val="en-US"/>
                    </w:rPr>
                    <w:t>One-off charges taken before or after you invest</w:t>
                  </w:r>
                </w:p>
              </w:tc>
            </w:tr>
            <w:tr w:rsidR="00B642D9" w:rsidRPr="006677C5" w14:paraId="62C96087" w14:textId="77777777" w:rsidTr="00F1686A">
              <w:tc>
                <w:tcPr>
                  <w:tcW w:w="2087" w:type="dxa"/>
                  <w:tcBorders>
                    <w:top w:val="single" w:sz="4" w:space="0" w:color="auto"/>
                    <w:left w:val="single" w:sz="4" w:space="0" w:color="auto"/>
                    <w:bottom w:val="single" w:sz="4" w:space="0" w:color="auto"/>
                    <w:right w:val="single" w:sz="4" w:space="0" w:color="auto"/>
                  </w:tcBorders>
                </w:tcPr>
                <w:p w14:paraId="5C759B6E" w14:textId="0E899A70" w:rsidR="00B642D9" w:rsidRPr="006677C5" w:rsidRDefault="006677C5" w:rsidP="00F1686A">
                  <w:pPr>
                    <w:spacing w:after="0" w:line="240" w:lineRule="auto"/>
                    <w:jc w:val="both"/>
                    <w:rPr>
                      <w:rFonts w:ascii="Arial" w:hAnsi="Arial" w:cs="Arial"/>
                      <w:b/>
                      <w:sz w:val="16"/>
                      <w:szCs w:val="16"/>
                      <w:lang w:val="en-US"/>
                    </w:rPr>
                  </w:pPr>
                  <w:r>
                    <w:rPr>
                      <w:rFonts w:ascii="Arial" w:hAnsi="Arial" w:cs="Arial"/>
                      <w:b/>
                      <w:sz w:val="16"/>
                      <w:szCs w:val="16"/>
                      <w:lang w:val="en-US"/>
                    </w:rPr>
                    <w:t>Entry charge</w:t>
                  </w:r>
                </w:p>
              </w:tc>
              <w:tc>
                <w:tcPr>
                  <w:tcW w:w="2047" w:type="dxa"/>
                  <w:tcBorders>
                    <w:top w:val="single" w:sz="4" w:space="0" w:color="auto"/>
                    <w:left w:val="single" w:sz="4" w:space="0" w:color="auto"/>
                    <w:bottom w:val="single" w:sz="4" w:space="0" w:color="auto"/>
                    <w:right w:val="single" w:sz="4" w:space="0" w:color="auto"/>
                  </w:tcBorders>
                </w:tcPr>
                <w:p w14:paraId="26D8B5F6" w14:textId="77777777" w:rsidR="00B642D9" w:rsidRPr="006677C5" w:rsidRDefault="00B642D9" w:rsidP="00F1686A">
                  <w:pPr>
                    <w:spacing w:after="0" w:line="240" w:lineRule="auto"/>
                    <w:jc w:val="both"/>
                    <w:rPr>
                      <w:rFonts w:ascii="Arial" w:hAnsi="Arial" w:cs="Arial"/>
                      <w:sz w:val="16"/>
                      <w:szCs w:val="16"/>
                      <w:lang w:val="en-US"/>
                    </w:rPr>
                  </w:pPr>
                  <w:r w:rsidRPr="006677C5">
                    <w:rPr>
                      <w:rFonts w:ascii="Arial" w:hAnsi="Arial" w:cs="Arial"/>
                      <w:sz w:val="16"/>
                      <w:szCs w:val="16"/>
                      <w:lang w:val="en-US"/>
                    </w:rPr>
                    <w:t>None</w:t>
                  </w:r>
                </w:p>
              </w:tc>
            </w:tr>
            <w:tr w:rsidR="00B642D9" w:rsidRPr="006677C5" w14:paraId="2781FC90" w14:textId="77777777" w:rsidTr="00F1686A">
              <w:tc>
                <w:tcPr>
                  <w:tcW w:w="2087" w:type="dxa"/>
                  <w:tcBorders>
                    <w:top w:val="single" w:sz="4" w:space="0" w:color="auto"/>
                    <w:left w:val="single" w:sz="4" w:space="0" w:color="auto"/>
                    <w:bottom w:val="single" w:sz="4" w:space="0" w:color="auto"/>
                    <w:right w:val="single" w:sz="4" w:space="0" w:color="auto"/>
                  </w:tcBorders>
                </w:tcPr>
                <w:p w14:paraId="628903CA" w14:textId="77777777" w:rsidR="00B642D9" w:rsidRPr="006677C5" w:rsidRDefault="00B642D9" w:rsidP="00F1686A">
                  <w:pPr>
                    <w:spacing w:after="0" w:line="240" w:lineRule="auto"/>
                    <w:jc w:val="both"/>
                    <w:rPr>
                      <w:rFonts w:ascii="Arial" w:hAnsi="Arial" w:cs="Arial"/>
                      <w:b/>
                      <w:sz w:val="16"/>
                      <w:szCs w:val="16"/>
                      <w:lang w:val="en-US"/>
                    </w:rPr>
                  </w:pPr>
                  <w:r w:rsidRPr="006677C5">
                    <w:rPr>
                      <w:rFonts w:ascii="Arial" w:hAnsi="Arial" w:cs="Arial"/>
                      <w:b/>
                      <w:sz w:val="16"/>
                      <w:szCs w:val="16"/>
                      <w:lang w:val="en-US"/>
                    </w:rPr>
                    <w:t>Exit charge</w:t>
                  </w:r>
                </w:p>
              </w:tc>
              <w:tc>
                <w:tcPr>
                  <w:tcW w:w="2047" w:type="dxa"/>
                  <w:tcBorders>
                    <w:top w:val="single" w:sz="4" w:space="0" w:color="auto"/>
                    <w:left w:val="single" w:sz="4" w:space="0" w:color="auto"/>
                    <w:bottom w:val="single" w:sz="4" w:space="0" w:color="auto"/>
                    <w:right w:val="single" w:sz="4" w:space="0" w:color="auto"/>
                  </w:tcBorders>
                </w:tcPr>
                <w:p w14:paraId="3D635A0A" w14:textId="77777777" w:rsidR="00B642D9" w:rsidRPr="006677C5" w:rsidRDefault="00B642D9" w:rsidP="00F1686A">
                  <w:pPr>
                    <w:spacing w:after="0" w:line="240" w:lineRule="auto"/>
                    <w:jc w:val="both"/>
                    <w:rPr>
                      <w:rFonts w:ascii="Arial" w:hAnsi="Arial" w:cs="Arial"/>
                      <w:sz w:val="16"/>
                      <w:szCs w:val="16"/>
                      <w:lang w:val="en-US"/>
                    </w:rPr>
                  </w:pPr>
                  <w:r w:rsidRPr="006677C5">
                    <w:rPr>
                      <w:rFonts w:ascii="Arial" w:hAnsi="Arial" w:cs="Arial"/>
                      <w:sz w:val="16"/>
                      <w:szCs w:val="16"/>
                      <w:lang w:val="en-US"/>
                    </w:rPr>
                    <w:t>None</w:t>
                  </w:r>
                </w:p>
              </w:tc>
            </w:tr>
            <w:tr w:rsidR="00B642D9" w:rsidRPr="006677C5" w14:paraId="10F293A4" w14:textId="77777777" w:rsidTr="00F1686A">
              <w:tc>
                <w:tcPr>
                  <w:tcW w:w="4134" w:type="dxa"/>
                  <w:gridSpan w:val="2"/>
                  <w:tcBorders>
                    <w:top w:val="single" w:sz="4" w:space="0" w:color="auto"/>
                    <w:left w:val="single" w:sz="4" w:space="0" w:color="auto"/>
                    <w:bottom w:val="single" w:sz="4" w:space="0" w:color="auto"/>
                    <w:right w:val="single" w:sz="4" w:space="0" w:color="auto"/>
                  </w:tcBorders>
                </w:tcPr>
                <w:p w14:paraId="40C2EC5D" w14:textId="77777777" w:rsidR="00B642D9" w:rsidRPr="006677C5" w:rsidRDefault="00B642D9" w:rsidP="00F1686A">
                  <w:pPr>
                    <w:spacing w:after="0" w:line="240" w:lineRule="auto"/>
                    <w:jc w:val="both"/>
                    <w:rPr>
                      <w:rFonts w:ascii="Arial" w:hAnsi="Arial" w:cs="Arial"/>
                      <w:sz w:val="16"/>
                      <w:szCs w:val="16"/>
                      <w:lang w:val="en-US"/>
                    </w:rPr>
                  </w:pPr>
                  <w:r w:rsidRPr="006677C5">
                    <w:rPr>
                      <w:rFonts w:ascii="Arial" w:hAnsi="Arial" w:cs="Arial"/>
                      <w:sz w:val="16"/>
                      <w:szCs w:val="16"/>
                      <w:lang w:val="en-US"/>
                    </w:rPr>
                    <w:t>This is the maximum that might be taken out of your money before it is invested and before the proceeds of your investment are paid out</w:t>
                  </w:r>
                </w:p>
              </w:tc>
            </w:tr>
            <w:tr w:rsidR="00B642D9" w:rsidRPr="006677C5" w14:paraId="10B5F10E" w14:textId="77777777" w:rsidTr="00F1686A">
              <w:tc>
                <w:tcPr>
                  <w:tcW w:w="4134" w:type="dxa"/>
                  <w:gridSpan w:val="2"/>
                  <w:tcBorders>
                    <w:top w:val="single" w:sz="4" w:space="0" w:color="auto"/>
                    <w:left w:val="single" w:sz="4" w:space="0" w:color="auto"/>
                    <w:bottom w:val="single" w:sz="4" w:space="0" w:color="auto"/>
                    <w:right w:val="single" w:sz="4" w:space="0" w:color="auto"/>
                  </w:tcBorders>
                </w:tcPr>
                <w:p w14:paraId="4516A49D" w14:textId="77777777" w:rsidR="00B642D9" w:rsidRPr="006677C5" w:rsidRDefault="00B642D9" w:rsidP="00F1686A">
                  <w:pPr>
                    <w:spacing w:after="0" w:line="240" w:lineRule="auto"/>
                    <w:jc w:val="both"/>
                    <w:rPr>
                      <w:rFonts w:ascii="Arial" w:hAnsi="Arial" w:cs="Arial"/>
                      <w:b/>
                      <w:sz w:val="16"/>
                      <w:szCs w:val="16"/>
                      <w:lang w:val="en-US"/>
                    </w:rPr>
                  </w:pPr>
                  <w:r w:rsidRPr="006677C5">
                    <w:rPr>
                      <w:rFonts w:ascii="Arial" w:hAnsi="Arial" w:cs="Arial"/>
                      <w:b/>
                      <w:sz w:val="16"/>
                      <w:szCs w:val="16"/>
                      <w:lang w:val="en-US"/>
                    </w:rPr>
                    <w:t>Charges taken from the Fund over a year</w:t>
                  </w:r>
                </w:p>
              </w:tc>
            </w:tr>
            <w:tr w:rsidR="00B642D9" w:rsidRPr="006677C5" w14:paraId="7D7609A1" w14:textId="77777777" w:rsidTr="00F1686A">
              <w:tc>
                <w:tcPr>
                  <w:tcW w:w="2087" w:type="dxa"/>
                  <w:tcBorders>
                    <w:top w:val="single" w:sz="4" w:space="0" w:color="auto"/>
                    <w:left w:val="single" w:sz="4" w:space="0" w:color="auto"/>
                    <w:bottom w:val="single" w:sz="4" w:space="0" w:color="auto"/>
                    <w:right w:val="single" w:sz="4" w:space="0" w:color="auto"/>
                  </w:tcBorders>
                </w:tcPr>
                <w:p w14:paraId="2EED6DA5" w14:textId="77777777" w:rsidR="00B642D9" w:rsidRPr="006677C5" w:rsidRDefault="00B642D9" w:rsidP="00F1686A">
                  <w:pPr>
                    <w:spacing w:after="0" w:line="240" w:lineRule="auto"/>
                    <w:jc w:val="both"/>
                    <w:rPr>
                      <w:rFonts w:ascii="Arial" w:hAnsi="Arial" w:cs="Arial"/>
                      <w:b/>
                      <w:sz w:val="16"/>
                      <w:szCs w:val="16"/>
                      <w:lang w:val="en-US"/>
                    </w:rPr>
                  </w:pPr>
                  <w:r w:rsidRPr="006677C5">
                    <w:rPr>
                      <w:rFonts w:ascii="Arial" w:hAnsi="Arial" w:cs="Arial"/>
                      <w:b/>
                      <w:sz w:val="16"/>
                      <w:szCs w:val="16"/>
                      <w:lang w:val="en-US"/>
                    </w:rPr>
                    <w:t>Ongoing charges</w:t>
                  </w:r>
                </w:p>
              </w:tc>
              <w:tc>
                <w:tcPr>
                  <w:tcW w:w="2047" w:type="dxa"/>
                  <w:tcBorders>
                    <w:top w:val="single" w:sz="4" w:space="0" w:color="auto"/>
                    <w:left w:val="single" w:sz="4" w:space="0" w:color="auto"/>
                    <w:bottom w:val="single" w:sz="4" w:space="0" w:color="auto"/>
                    <w:right w:val="single" w:sz="4" w:space="0" w:color="auto"/>
                  </w:tcBorders>
                </w:tcPr>
                <w:p w14:paraId="65941853" w14:textId="6A7CF666" w:rsidR="00B642D9" w:rsidRPr="006677C5" w:rsidRDefault="008E019C" w:rsidP="005A697F">
                  <w:pPr>
                    <w:spacing w:after="0" w:line="240" w:lineRule="auto"/>
                    <w:jc w:val="both"/>
                    <w:rPr>
                      <w:rFonts w:ascii="Arial" w:hAnsi="Arial" w:cs="Arial"/>
                      <w:sz w:val="16"/>
                      <w:szCs w:val="16"/>
                      <w:lang w:val="en-US"/>
                    </w:rPr>
                  </w:pPr>
                  <w:r>
                    <w:rPr>
                      <w:rFonts w:ascii="Arial" w:hAnsi="Arial" w:cs="Arial"/>
                      <w:sz w:val="16"/>
                      <w:szCs w:val="16"/>
                      <w:lang w:val="en-US"/>
                    </w:rPr>
                    <w:t>4.07</w:t>
                  </w:r>
                  <w:r w:rsidR="00813C86">
                    <w:rPr>
                      <w:rFonts w:ascii="Arial" w:hAnsi="Arial" w:cs="Arial"/>
                      <w:sz w:val="16"/>
                      <w:szCs w:val="16"/>
                      <w:lang w:val="en-US"/>
                    </w:rPr>
                    <w:t xml:space="preserve"> </w:t>
                  </w:r>
                  <w:r w:rsidR="00B642D9" w:rsidRPr="006677C5">
                    <w:rPr>
                      <w:rFonts w:ascii="Arial" w:hAnsi="Arial" w:cs="Arial"/>
                      <w:sz w:val="16"/>
                      <w:szCs w:val="16"/>
                      <w:lang w:val="en-US"/>
                    </w:rPr>
                    <w:t>%</w:t>
                  </w:r>
                </w:p>
              </w:tc>
            </w:tr>
            <w:tr w:rsidR="00B642D9" w:rsidRPr="006677C5" w14:paraId="5984D426" w14:textId="77777777" w:rsidTr="00F1686A">
              <w:tc>
                <w:tcPr>
                  <w:tcW w:w="4134" w:type="dxa"/>
                  <w:gridSpan w:val="2"/>
                  <w:tcBorders>
                    <w:top w:val="single" w:sz="4" w:space="0" w:color="auto"/>
                    <w:left w:val="single" w:sz="4" w:space="0" w:color="auto"/>
                    <w:bottom w:val="single" w:sz="4" w:space="0" w:color="auto"/>
                    <w:right w:val="single" w:sz="4" w:space="0" w:color="auto"/>
                  </w:tcBorders>
                </w:tcPr>
                <w:p w14:paraId="345C71C1" w14:textId="77777777" w:rsidR="00B642D9" w:rsidRPr="006677C5" w:rsidRDefault="00B642D9" w:rsidP="00F1686A">
                  <w:pPr>
                    <w:spacing w:after="0" w:line="240" w:lineRule="auto"/>
                    <w:jc w:val="both"/>
                    <w:rPr>
                      <w:rFonts w:ascii="Arial" w:hAnsi="Arial" w:cs="Arial"/>
                      <w:b/>
                      <w:sz w:val="16"/>
                      <w:szCs w:val="16"/>
                      <w:lang w:val="en-US"/>
                    </w:rPr>
                  </w:pPr>
                  <w:r w:rsidRPr="006677C5">
                    <w:rPr>
                      <w:rFonts w:ascii="Arial" w:hAnsi="Arial" w:cs="Arial"/>
                      <w:b/>
                      <w:sz w:val="16"/>
                      <w:szCs w:val="16"/>
                      <w:lang w:val="en-US"/>
                    </w:rPr>
                    <w:t>Charges taken from the Fund under specific conditions</w:t>
                  </w:r>
                </w:p>
              </w:tc>
            </w:tr>
            <w:tr w:rsidR="00B642D9" w:rsidRPr="006677C5" w14:paraId="5E74FD9C" w14:textId="77777777" w:rsidTr="00F1686A">
              <w:tc>
                <w:tcPr>
                  <w:tcW w:w="2087" w:type="dxa"/>
                  <w:tcBorders>
                    <w:top w:val="single" w:sz="4" w:space="0" w:color="auto"/>
                    <w:left w:val="single" w:sz="4" w:space="0" w:color="auto"/>
                    <w:bottom w:val="single" w:sz="4" w:space="0" w:color="auto"/>
                    <w:right w:val="single" w:sz="4" w:space="0" w:color="auto"/>
                  </w:tcBorders>
                </w:tcPr>
                <w:p w14:paraId="57CBAA3E" w14:textId="77777777" w:rsidR="00B642D9" w:rsidRPr="006677C5" w:rsidRDefault="00B642D9" w:rsidP="00F1686A">
                  <w:pPr>
                    <w:spacing w:after="0" w:line="240" w:lineRule="auto"/>
                    <w:jc w:val="both"/>
                    <w:rPr>
                      <w:rFonts w:ascii="Arial" w:hAnsi="Arial" w:cs="Arial"/>
                      <w:b/>
                      <w:sz w:val="16"/>
                      <w:szCs w:val="16"/>
                      <w:lang w:val="en-US"/>
                    </w:rPr>
                  </w:pPr>
                  <w:r w:rsidRPr="006677C5">
                    <w:rPr>
                      <w:rFonts w:ascii="Arial" w:hAnsi="Arial" w:cs="Arial"/>
                      <w:b/>
                      <w:sz w:val="16"/>
                      <w:szCs w:val="16"/>
                      <w:lang w:val="en-US"/>
                    </w:rPr>
                    <w:t>Performance Fee:</w:t>
                  </w:r>
                </w:p>
              </w:tc>
              <w:tc>
                <w:tcPr>
                  <w:tcW w:w="2047" w:type="dxa"/>
                  <w:tcBorders>
                    <w:top w:val="single" w:sz="4" w:space="0" w:color="auto"/>
                    <w:left w:val="single" w:sz="4" w:space="0" w:color="auto"/>
                    <w:bottom w:val="single" w:sz="4" w:space="0" w:color="auto"/>
                    <w:right w:val="single" w:sz="4" w:space="0" w:color="auto"/>
                  </w:tcBorders>
                </w:tcPr>
                <w:p w14:paraId="3B4EF0B4" w14:textId="7810DF37" w:rsidR="00B642D9" w:rsidRPr="00F3378C" w:rsidRDefault="00F3378C" w:rsidP="005A697F">
                  <w:pPr>
                    <w:autoSpaceDE w:val="0"/>
                    <w:autoSpaceDN w:val="0"/>
                    <w:adjustRightInd w:val="0"/>
                    <w:spacing w:after="0" w:line="240" w:lineRule="auto"/>
                    <w:rPr>
                      <w:rFonts w:ascii="Arial" w:hAnsi="Arial" w:cs="Arial"/>
                      <w:sz w:val="16"/>
                      <w:szCs w:val="16"/>
                      <w:lang w:val="en-US"/>
                    </w:rPr>
                  </w:pPr>
                  <w:r w:rsidRPr="00F3378C">
                    <w:rPr>
                      <w:rFonts w:ascii="Arial,Bold" w:hAnsi="Arial,Bold" w:cs="Arial,Bold"/>
                      <w:bCs/>
                      <w:sz w:val="16"/>
                      <w:szCs w:val="16"/>
                      <w:lang w:eastAsia="es-ES"/>
                    </w:rPr>
                    <w:t>N/A</w:t>
                  </w:r>
                </w:p>
              </w:tc>
            </w:tr>
          </w:tbl>
          <w:p w14:paraId="493229CE" w14:textId="77777777" w:rsidR="00B642D9" w:rsidRPr="006677C5" w:rsidRDefault="00B642D9" w:rsidP="00F1686A">
            <w:pPr>
              <w:spacing w:line="240" w:lineRule="auto"/>
              <w:jc w:val="both"/>
              <w:rPr>
                <w:rFonts w:ascii="Arial" w:hAnsi="Arial" w:cs="Arial"/>
                <w:b/>
                <w:sz w:val="16"/>
                <w:szCs w:val="16"/>
                <w:lang w:val="en-US"/>
              </w:rPr>
            </w:pPr>
          </w:p>
        </w:tc>
        <w:tc>
          <w:tcPr>
            <w:tcW w:w="4820" w:type="dxa"/>
          </w:tcPr>
          <w:p w14:paraId="247A9F66" w14:textId="77777777" w:rsidR="00B642D9" w:rsidRPr="006677C5" w:rsidRDefault="00B642D9" w:rsidP="00F1686A">
            <w:pPr>
              <w:spacing w:after="0" w:line="240" w:lineRule="auto"/>
              <w:jc w:val="both"/>
              <w:rPr>
                <w:rFonts w:ascii="Arial" w:hAnsi="Arial" w:cs="Arial"/>
                <w:sz w:val="16"/>
                <w:szCs w:val="16"/>
                <w:lang w:val="en-US"/>
              </w:rPr>
            </w:pPr>
          </w:p>
          <w:p w14:paraId="0F41E48C" w14:textId="77777777" w:rsidR="00B642D9" w:rsidRPr="006677C5" w:rsidRDefault="00B642D9" w:rsidP="00F1686A">
            <w:pPr>
              <w:spacing w:after="0" w:line="240" w:lineRule="auto"/>
              <w:jc w:val="both"/>
              <w:rPr>
                <w:rFonts w:ascii="Arial" w:hAnsi="Arial" w:cs="Arial"/>
                <w:sz w:val="16"/>
                <w:szCs w:val="16"/>
                <w:lang w:val="en-US"/>
              </w:rPr>
            </w:pPr>
            <w:r w:rsidRPr="006677C5">
              <w:rPr>
                <w:rFonts w:ascii="Arial" w:hAnsi="Arial" w:cs="Arial"/>
                <w:sz w:val="16"/>
                <w:szCs w:val="16"/>
                <w:lang w:val="en-US"/>
              </w:rPr>
              <w:t xml:space="preserve">The </w:t>
            </w:r>
            <w:r w:rsidRPr="006677C5">
              <w:rPr>
                <w:rFonts w:ascii="Arial" w:hAnsi="Arial" w:cs="Arial"/>
                <w:b/>
                <w:bCs/>
                <w:sz w:val="16"/>
                <w:szCs w:val="16"/>
                <w:lang w:val="en-US"/>
              </w:rPr>
              <w:t xml:space="preserve">entry </w:t>
            </w:r>
            <w:r w:rsidRPr="006677C5">
              <w:rPr>
                <w:rFonts w:ascii="Arial" w:hAnsi="Arial" w:cs="Arial"/>
                <w:sz w:val="16"/>
                <w:szCs w:val="16"/>
                <w:lang w:val="en-US"/>
              </w:rPr>
              <w:t xml:space="preserve">and </w:t>
            </w:r>
            <w:r w:rsidRPr="006677C5">
              <w:rPr>
                <w:rFonts w:ascii="Arial" w:hAnsi="Arial" w:cs="Arial"/>
                <w:b/>
                <w:bCs/>
                <w:sz w:val="16"/>
                <w:szCs w:val="16"/>
                <w:lang w:val="en-US"/>
              </w:rPr>
              <w:t xml:space="preserve">exit charges </w:t>
            </w:r>
            <w:r w:rsidRPr="006677C5">
              <w:rPr>
                <w:rFonts w:ascii="Arial" w:hAnsi="Arial" w:cs="Arial"/>
                <w:sz w:val="16"/>
                <w:szCs w:val="16"/>
                <w:lang w:val="en-US"/>
              </w:rPr>
              <w:t>shown are maximum</w:t>
            </w:r>
            <w:r w:rsidR="005A697F" w:rsidRPr="006677C5">
              <w:rPr>
                <w:rFonts w:ascii="Arial" w:hAnsi="Arial" w:cs="Arial"/>
                <w:sz w:val="16"/>
                <w:szCs w:val="16"/>
                <w:lang w:val="en-US"/>
              </w:rPr>
              <w:t xml:space="preserve"> </w:t>
            </w:r>
            <w:r w:rsidRPr="006677C5">
              <w:rPr>
                <w:rFonts w:ascii="Arial" w:hAnsi="Arial" w:cs="Arial"/>
                <w:sz w:val="16"/>
                <w:szCs w:val="16"/>
                <w:lang w:val="en-US"/>
              </w:rPr>
              <w:t xml:space="preserve">figures. In some </w:t>
            </w:r>
            <w:proofErr w:type="gramStart"/>
            <w:r w:rsidRPr="006677C5">
              <w:rPr>
                <w:rFonts w:ascii="Arial" w:hAnsi="Arial" w:cs="Arial"/>
                <w:sz w:val="16"/>
                <w:szCs w:val="16"/>
                <w:lang w:val="en-US"/>
              </w:rPr>
              <w:t>cases</w:t>
            </w:r>
            <w:proofErr w:type="gramEnd"/>
            <w:r w:rsidRPr="006677C5">
              <w:rPr>
                <w:rFonts w:ascii="Arial" w:hAnsi="Arial" w:cs="Arial"/>
                <w:sz w:val="16"/>
                <w:szCs w:val="16"/>
                <w:lang w:val="en-US"/>
              </w:rPr>
              <w:t xml:space="preserve"> you might pay less </w:t>
            </w:r>
            <w:r w:rsidR="005A697F" w:rsidRPr="006677C5">
              <w:rPr>
                <w:rFonts w:ascii="Arial" w:hAnsi="Arial" w:cs="Arial"/>
                <w:sz w:val="16"/>
                <w:szCs w:val="16"/>
                <w:lang w:val="en-US"/>
              </w:rPr>
              <w:t>–</w:t>
            </w:r>
            <w:r w:rsidRPr="006677C5">
              <w:rPr>
                <w:rFonts w:ascii="Arial" w:hAnsi="Arial" w:cs="Arial"/>
                <w:sz w:val="16"/>
                <w:szCs w:val="16"/>
                <w:lang w:val="en-US"/>
              </w:rPr>
              <w:t xml:space="preserve"> you</w:t>
            </w:r>
            <w:r w:rsidR="005A697F" w:rsidRPr="006677C5">
              <w:rPr>
                <w:rFonts w:ascii="Arial" w:hAnsi="Arial" w:cs="Arial"/>
                <w:sz w:val="16"/>
                <w:szCs w:val="16"/>
                <w:lang w:val="en-US"/>
              </w:rPr>
              <w:t xml:space="preserve"> </w:t>
            </w:r>
            <w:r w:rsidRPr="006677C5">
              <w:rPr>
                <w:rFonts w:ascii="Arial" w:hAnsi="Arial" w:cs="Arial"/>
                <w:sz w:val="16"/>
                <w:szCs w:val="16"/>
                <w:lang w:val="en-US"/>
              </w:rPr>
              <w:t>can find out the actual entry and exit charges from your financial adviser or distributor.</w:t>
            </w:r>
          </w:p>
          <w:p w14:paraId="6DE99630" w14:textId="77777777" w:rsidR="00B642D9" w:rsidRPr="006677C5" w:rsidRDefault="00B642D9" w:rsidP="00F1686A">
            <w:pPr>
              <w:spacing w:after="0" w:line="240" w:lineRule="auto"/>
              <w:jc w:val="both"/>
              <w:rPr>
                <w:rFonts w:ascii="Arial" w:hAnsi="Arial" w:cs="Arial"/>
                <w:sz w:val="16"/>
                <w:szCs w:val="16"/>
                <w:lang w:val="en-US"/>
              </w:rPr>
            </w:pPr>
          </w:p>
          <w:p w14:paraId="3533ACA5" w14:textId="71351183" w:rsidR="00B642D9" w:rsidRDefault="00B642D9" w:rsidP="00F1686A">
            <w:pPr>
              <w:spacing w:after="0" w:line="240" w:lineRule="auto"/>
              <w:jc w:val="both"/>
              <w:rPr>
                <w:rFonts w:ascii="Arial" w:hAnsi="Arial" w:cs="Arial"/>
                <w:sz w:val="16"/>
                <w:szCs w:val="16"/>
                <w:lang w:val="en-US"/>
              </w:rPr>
            </w:pPr>
            <w:r w:rsidRPr="006677C5">
              <w:rPr>
                <w:rFonts w:ascii="Arial" w:hAnsi="Arial" w:cs="Arial"/>
                <w:sz w:val="16"/>
                <w:szCs w:val="16"/>
                <w:lang w:val="en-US"/>
              </w:rPr>
              <w:t xml:space="preserve">The </w:t>
            </w:r>
            <w:r w:rsidRPr="006677C5">
              <w:rPr>
                <w:rFonts w:ascii="Arial" w:hAnsi="Arial" w:cs="Arial"/>
                <w:b/>
                <w:sz w:val="16"/>
                <w:szCs w:val="16"/>
                <w:lang w:val="en-US"/>
              </w:rPr>
              <w:t>ongoing charges figures</w:t>
            </w:r>
            <w:r w:rsidRPr="006677C5">
              <w:rPr>
                <w:rFonts w:ascii="Arial" w:hAnsi="Arial" w:cs="Arial"/>
                <w:sz w:val="16"/>
                <w:szCs w:val="16"/>
                <w:lang w:val="en-US"/>
              </w:rPr>
              <w:t xml:space="preserve"> shown here </w:t>
            </w:r>
            <w:r w:rsidR="00F3378C" w:rsidRPr="00F3378C">
              <w:rPr>
                <w:rFonts w:ascii="Arial" w:hAnsi="Arial" w:cs="Arial"/>
                <w:sz w:val="16"/>
                <w:szCs w:val="16"/>
                <w:lang w:val="en-US"/>
              </w:rPr>
              <w:t>is an estimate of the charges as there is insufficient historical data</w:t>
            </w:r>
            <w:r w:rsidRPr="006677C5">
              <w:rPr>
                <w:rFonts w:ascii="Arial" w:hAnsi="Arial" w:cs="Arial"/>
                <w:sz w:val="16"/>
                <w:szCs w:val="16"/>
                <w:lang w:val="en-US"/>
              </w:rPr>
              <w:t xml:space="preserve">. This figure may vary from year to year and the ICAV’s annual report for each financial year will include detail on the exact charges made. The ongoing charges excludes </w:t>
            </w:r>
            <w:r w:rsidR="00FF0B3E" w:rsidRPr="006677C5">
              <w:rPr>
                <w:rFonts w:ascii="Arial" w:hAnsi="Arial" w:cs="Arial"/>
                <w:sz w:val="16"/>
                <w:szCs w:val="16"/>
                <w:lang w:val="en-US"/>
              </w:rPr>
              <w:t xml:space="preserve">performance fees and </w:t>
            </w:r>
            <w:r w:rsidRPr="006677C5">
              <w:rPr>
                <w:rFonts w:ascii="Arial" w:hAnsi="Arial" w:cs="Arial"/>
                <w:sz w:val="16"/>
                <w:szCs w:val="16"/>
                <w:lang w:val="en-US"/>
              </w:rPr>
              <w:t xml:space="preserve">portfolio transaction charges except in the case of an entry/exit charge paid by the Fund when buying or selling units in another collective investment scheme. </w:t>
            </w:r>
            <w:r w:rsidR="00B26915">
              <w:rPr>
                <w:rFonts w:ascii="Arial" w:hAnsi="Arial" w:cs="Arial"/>
                <w:sz w:val="16"/>
                <w:szCs w:val="16"/>
                <w:lang w:val="en-US"/>
              </w:rPr>
              <w:t xml:space="preserve">This figure </w:t>
            </w:r>
            <w:proofErr w:type="gramStart"/>
            <w:r w:rsidR="00B26915">
              <w:rPr>
                <w:rFonts w:ascii="Arial" w:hAnsi="Arial" w:cs="Arial"/>
                <w:sz w:val="16"/>
                <w:szCs w:val="16"/>
                <w:lang w:val="en-US"/>
              </w:rPr>
              <w:t>has been estimated</w:t>
            </w:r>
            <w:proofErr w:type="gramEnd"/>
            <w:r w:rsidR="00B26915">
              <w:rPr>
                <w:rFonts w:ascii="Arial" w:hAnsi="Arial" w:cs="Arial"/>
                <w:sz w:val="16"/>
                <w:szCs w:val="16"/>
                <w:lang w:val="en-US"/>
              </w:rPr>
              <w:t xml:space="preserve"> using an AUM of EUR5M.</w:t>
            </w:r>
          </w:p>
          <w:p w14:paraId="1EADE0D5" w14:textId="77777777" w:rsidR="003C117C" w:rsidRDefault="003C117C" w:rsidP="00F1686A">
            <w:pPr>
              <w:spacing w:after="0" w:line="240" w:lineRule="auto"/>
              <w:jc w:val="both"/>
              <w:rPr>
                <w:rFonts w:ascii="Arial" w:hAnsi="Arial" w:cs="Arial"/>
                <w:sz w:val="16"/>
                <w:szCs w:val="16"/>
                <w:lang w:val="en-US"/>
              </w:rPr>
            </w:pPr>
          </w:p>
          <w:p w14:paraId="0F970AEC" w14:textId="45127E92" w:rsidR="003C117C" w:rsidRPr="006677C5" w:rsidRDefault="003C117C" w:rsidP="003C117C">
            <w:pPr>
              <w:spacing w:after="0" w:line="240" w:lineRule="auto"/>
              <w:jc w:val="both"/>
              <w:rPr>
                <w:rFonts w:ascii="Arial" w:hAnsi="Arial" w:cs="Arial"/>
                <w:sz w:val="16"/>
                <w:szCs w:val="16"/>
                <w:lang w:val="en-US"/>
              </w:rPr>
            </w:pPr>
            <w:r w:rsidRPr="003C117C">
              <w:rPr>
                <w:rFonts w:ascii="Arial" w:hAnsi="Arial" w:cs="Arial"/>
                <w:sz w:val="16"/>
                <w:szCs w:val="16"/>
                <w:lang w:val="en-US"/>
              </w:rPr>
              <w:t>An anti-dilution levy may be impose</w:t>
            </w:r>
            <w:r>
              <w:rPr>
                <w:rFonts w:ascii="Arial" w:hAnsi="Arial" w:cs="Arial"/>
                <w:sz w:val="16"/>
                <w:szCs w:val="16"/>
                <w:lang w:val="en-US"/>
              </w:rPr>
              <w:t xml:space="preserve">d where it is determined that a </w:t>
            </w:r>
            <w:r w:rsidRPr="003C117C">
              <w:rPr>
                <w:rFonts w:ascii="Arial" w:hAnsi="Arial" w:cs="Arial"/>
                <w:sz w:val="16"/>
                <w:szCs w:val="16"/>
                <w:lang w:val="en-US"/>
              </w:rPr>
              <w:t>large purchase</w:t>
            </w:r>
            <w:r>
              <w:rPr>
                <w:rFonts w:ascii="Arial" w:hAnsi="Arial" w:cs="Arial"/>
                <w:sz w:val="16"/>
                <w:szCs w:val="16"/>
                <w:lang w:val="en-US"/>
              </w:rPr>
              <w:t xml:space="preserve">, sale or switching of Fund Shares is causing dilution of </w:t>
            </w:r>
            <w:r w:rsidRPr="003C117C">
              <w:rPr>
                <w:rFonts w:ascii="Arial" w:hAnsi="Arial" w:cs="Arial"/>
                <w:sz w:val="16"/>
                <w:szCs w:val="16"/>
                <w:lang w:val="en-US"/>
              </w:rPr>
              <w:t>the Fund's value.</w:t>
            </w:r>
          </w:p>
          <w:p w14:paraId="1A72FD80" w14:textId="77777777" w:rsidR="00B642D9" w:rsidRPr="006677C5" w:rsidRDefault="00B642D9" w:rsidP="00F1686A">
            <w:pPr>
              <w:spacing w:after="0" w:line="240" w:lineRule="auto"/>
              <w:jc w:val="both"/>
              <w:rPr>
                <w:rFonts w:ascii="Arial" w:hAnsi="Arial" w:cs="Arial"/>
                <w:sz w:val="16"/>
                <w:szCs w:val="16"/>
                <w:lang w:val="en-US"/>
              </w:rPr>
            </w:pPr>
          </w:p>
          <w:p w14:paraId="1FEDAB96" w14:textId="3044E840" w:rsidR="00B642D9" w:rsidRPr="00F3378C" w:rsidRDefault="00B642D9" w:rsidP="00F1686A">
            <w:pPr>
              <w:spacing w:after="0" w:line="240" w:lineRule="auto"/>
              <w:jc w:val="both"/>
              <w:rPr>
                <w:rFonts w:ascii="Arial" w:hAnsi="Arial" w:cs="Arial"/>
                <w:sz w:val="16"/>
                <w:szCs w:val="16"/>
                <w:lang w:val="en-US"/>
              </w:rPr>
            </w:pPr>
            <w:r w:rsidRPr="006677C5">
              <w:rPr>
                <w:rFonts w:ascii="Arial" w:hAnsi="Arial" w:cs="Arial"/>
                <w:b/>
                <w:bCs/>
                <w:sz w:val="16"/>
                <w:szCs w:val="16"/>
                <w:lang w:val="en-US"/>
              </w:rPr>
              <w:t>For more information about charges, please</w:t>
            </w:r>
            <w:r w:rsidR="00F3378C">
              <w:rPr>
                <w:rFonts w:ascii="Arial" w:hAnsi="Arial" w:cs="Arial"/>
                <w:sz w:val="16"/>
                <w:szCs w:val="16"/>
                <w:lang w:val="en-US"/>
              </w:rPr>
              <w:t xml:space="preserve"> s</w:t>
            </w:r>
            <w:r w:rsidRPr="006677C5">
              <w:rPr>
                <w:rFonts w:ascii="Arial" w:hAnsi="Arial" w:cs="Arial"/>
                <w:b/>
                <w:bCs/>
                <w:sz w:val="16"/>
                <w:szCs w:val="16"/>
                <w:lang w:val="en-US"/>
              </w:rPr>
              <w:t>ee the sections headed “Fees and Expenses” of the Prospectus and Supplement for the Fund.</w:t>
            </w:r>
          </w:p>
          <w:p w14:paraId="7BDC5907" w14:textId="77777777" w:rsidR="00B642D9" w:rsidRPr="00F3378C" w:rsidRDefault="00B642D9" w:rsidP="00F1686A">
            <w:pPr>
              <w:spacing w:after="0" w:line="240" w:lineRule="auto"/>
              <w:jc w:val="both"/>
              <w:rPr>
                <w:rFonts w:ascii="Arial" w:hAnsi="Arial" w:cs="Arial"/>
                <w:b/>
                <w:sz w:val="16"/>
                <w:szCs w:val="16"/>
              </w:rPr>
            </w:pPr>
          </w:p>
        </w:tc>
      </w:tr>
    </w:tbl>
    <w:p w14:paraId="59F0AC10" w14:textId="77777777" w:rsidR="00B642D9" w:rsidRPr="006677C5" w:rsidRDefault="00B642D9" w:rsidP="00B642D9">
      <w:pPr>
        <w:spacing w:after="0" w:line="240" w:lineRule="auto"/>
        <w:jc w:val="both"/>
        <w:rPr>
          <w:rFonts w:ascii="Arial" w:hAnsi="Arial" w:cs="Arial"/>
          <w:b/>
          <w:sz w:val="16"/>
          <w:szCs w:val="16"/>
          <w:lang w:val="en-US"/>
        </w:rPr>
      </w:pPr>
    </w:p>
    <w:tbl>
      <w:tblPr>
        <w:tblStyle w:val="TableGrid"/>
        <w:tblW w:w="9180" w:type="dxa"/>
        <w:tblLook w:val="04A0" w:firstRow="1" w:lastRow="0" w:firstColumn="1" w:lastColumn="0" w:noHBand="0" w:noVBand="1"/>
      </w:tblPr>
      <w:tblGrid>
        <w:gridCol w:w="9180"/>
      </w:tblGrid>
      <w:tr w:rsidR="00B642D9" w:rsidRPr="006677C5" w14:paraId="3456FB45" w14:textId="77777777" w:rsidTr="006677C5">
        <w:tc>
          <w:tcPr>
            <w:tcW w:w="9180" w:type="dxa"/>
          </w:tcPr>
          <w:p w14:paraId="01D464F6" w14:textId="77777777" w:rsidR="006677C5" w:rsidRDefault="006677C5" w:rsidP="00F1686A">
            <w:pPr>
              <w:spacing w:after="0" w:line="240" w:lineRule="auto"/>
              <w:jc w:val="both"/>
              <w:rPr>
                <w:rFonts w:ascii="Arial" w:hAnsi="Arial" w:cs="Arial"/>
                <w:b/>
                <w:sz w:val="16"/>
                <w:szCs w:val="16"/>
                <w:lang w:val="en-US"/>
              </w:rPr>
            </w:pPr>
          </w:p>
          <w:p w14:paraId="0105CCF7" w14:textId="77777777" w:rsidR="00B642D9" w:rsidRPr="006677C5" w:rsidRDefault="00B642D9" w:rsidP="00F1686A">
            <w:pPr>
              <w:spacing w:after="0" w:line="240" w:lineRule="auto"/>
              <w:jc w:val="both"/>
              <w:rPr>
                <w:rFonts w:ascii="Arial" w:hAnsi="Arial" w:cs="Arial"/>
                <w:b/>
                <w:sz w:val="16"/>
                <w:szCs w:val="16"/>
                <w:lang w:val="en-US"/>
              </w:rPr>
            </w:pPr>
            <w:r w:rsidRPr="006677C5">
              <w:rPr>
                <w:rFonts w:ascii="Arial" w:hAnsi="Arial" w:cs="Arial"/>
                <w:b/>
                <w:sz w:val="16"/>
                <w:szCs w:val="16"/>
                <w:lang w:val="en-US"/>
              </w:rPr>
              <w:t>PAST PERFORMANCE</w:t>
            </w:r>
          </w:p>
          <w:p w14:paraId="5694C977" w14:textId="77777777" w:rsidR="00B642D9" w:rsidRPr="006677C5" w:rsidRDefault="00B642D9" w:rsidP="00F1686A">
            <w:pPr>
              <w:spacing w:after="0" w:line="240" w:lineRule="auto"/>
              <w:jc w:val="both"/>
              <w:rPr>
                <w:rFonts w:ascii="Arial" w:hAnsi="Arial" w:cs="Arial"/>
                <w:b/>
                <w:sz w:val="16"/>
                <w:szCs w:val="16"/>
                <w:lang w:val="en-US"/>
              </w:rPr>
            </w:pPr>
          </w:p>
          <w:p w14:paraId="5B060409" w14:textId="77777777" w:rsidR="00F3378C" w:rsidRPr="00F3378C" w:rsidRDefault="00F3378C" w:rsidP="00F3378C">
            <w:pPr>
              <w:pStyle w:val="ListParagraph"/>
              <w:numPr>
                <w:ilvl w:val="0"/>
                <w:numId w:val="11"/>
              </w:numPr>
              <w:rPr>
                <w:rFonts w:ascii="Arial" w:hAnsi="Arial" w:cs="Arial"/>
                <w:sz w:val="16"/>
                <w:szCs w:val="16"/>
                <w:lang w:val="en-US"/>
              </w:rPr>
            </w:pPr>
            <w:r w:rsidRPr="00F3378C">
              <w:rPr>
                <w:rFonts w:ascii="Arial" w:hAnsi="Arial" w:cs="Arial"/>
                <w:sz w:val="16"/>
                <w:szCs w:val="16"/>
                <w:lang w:val="en-US"/>
              </w:rPr>
              <w:t xml:space="preserve">As the Share Class does not yet have performance for one complete calendar year, there is insufficient data to provide a useful indication of past performance in respect of the Share Class to investors. </w:t>
            </w:r>
          </w:p>
          <w:p w14:paraId="77342B6A" w14:textId="57353534" w:rsidR="00F3378C" w:rsidRPr="00F3378C" w:rsidRDefault="00F3378C" w:rsidP="00F3378C">
            <w:pPr>
              <w:pStyle w:val="ListParagraph"/>
              <w:numPr>
                <w:ilvl w:val="0"/>
                <w:numId w:val="11"/>
              </w:numPr>
              <w:spacing w:after="0" w:line="240" w:lineRule="auto"/>
              <w:jc w:val="both"/>
              <w:rPr>
                <w:rFonts w:ascii="Arial" w:hAnsi="Arial" w:cs="Arial"/>
                <w:sz w:val="16"/>
                <w:szCs w:val="16"/>
                <w:lang w:val="en-US"/>
              </w:rPr>
            </w:pPr>
            <w:r w:rsidRPr="00F3378C">
              <w:rPr>
                <w:rFonts w:ascii="Arial" w:hAnsi="Arial" w:cs="Arial"/>
                <w:sz w:val="16"/>
                <w:szCs w:val="16"/>
                <w:lang w:val="en-US"/>
              </w:rPr>
              <w:t xml:space="preserve">The Fund was created on </w:t>
            </w:r>
            <w:r w:rsidR="00813C86">
              <w:rPr>
                <w:rFonts w:ascii="Arial" w:hAnsi="Arial" w:cs="Arial"/>
                <w:sz w:val="16"/>
                <w:szCs w:val="16"/>
                <w:lang w:val="en-US"/>
              </w:rPr>
              <w:t xml:space="preserve">20 </w:t>
            </w:r>
            <w:proofErr w:type="gramStart"/>
            <w:r w:rsidR="00813C86">
              <w:rPr>
                <w:rFonts w:ascii="Arial" w:hAnsi="Arial" w:cs="Arial"/>
                <w:sz w:val="16"/>
                <w:szCs w:val="16"/>
                <w:lang w:val="en-US"/>
              </w:rPr>
              <w:t>November</w:t>
            </w:r>
            <w:r w:rsidRPr="00F3378C">
              <w:rPr>
                <w:rFonts w:ascii="Arial" w:hAnsi="Arial" w:cs="Arial"/>
                <w:sz w:val="16"/>
                <w:szCs w:val="16"/>
                <w:lang w:val="en-US"/>
              </w:rPr>
              <w:t>,</w:t>
            </w:r>
            <w:proofErr w:type="gramEnd"/>
            <w:r w:rsidRPr="00F3378C">
              <w:rPr>
                <w:rFonts w:ascii="Arial" w:hAnsi="Arial" w:cs="Arial"/>
                <w:sz w:val="16"/>
                <w:szCs w:val="16"/>
                <w:lang w:val="en-US"/>
              </w:rPr>
              <w:t xml:space="preserve"> 2020.</w:t>
            </w:r>
          </w:p>
          <w:p w14:paraId="277274E6" w14:textId="155C6424" w:rsidR="00F3378C" w:rsidRDefault="00F3378C" w:rsidP="00F3378C">
            <w:pPr>
              <w:pStyle w:val="ListParagraph"/>
              <w:numPr>
                <w:ilvl w:val="0"/>
                <w:numId w:val="11"/>
              </w:numPr>
              <w:spacing w:after="0" w:line="240" w:lineRule="auto"/>
              <w:jc w:val="both"/>
              <w:rPr>
                <w:rFonts w:ascii="Arial" w:hAnsi="Arial" w:cs="Arial"/>
                <w:sz w:val="16"/>
                <w:szCs w:val="16"/>
                <w:lang w:val="en-US"/>
              </w:rPr>
            </w:pPr>
            <w:r w:rsidRPr="00F3378C">
              <w:rPr>
                <w:rFonts w:ascii="Arial" w:hAnsi="Arial" w:cs="Arial"/>
                <w:sz w:val="16"/>
                <w:szCs w:val="16"/>
                <w:lang w:val="en-US"/>
              </w:rPr>
              <w:t xml:space="preserve">The value of the Fund </w:t>
            </w:r>
            <w:proofErr w:type="gramStart"/>
            <w:r w:rsidRPr="00F3378C">
              <w:rPr>
                <w:rFonts w:ascii="Arial" w:hAnsi="Arial" w:cs="Arial"/>
                <w:sz w:val="16"/>
                <w:szCs w:val="16"/>
                <w:lang w:val="en-US"/>
              </w:rPr>
              <w:t>is calculated</w:t>
            </w:r>
            <w:proofErr w:type="gramEnd"/>
            <w:r w:rsidRPr="00F3378C">
              <w:rPr>
                <w:rFonts w:ascii="Arial" w:hAnsi="Arial" w:cs="Arial"/>
                <w:sz w:val="16"/>
                <w:szCs w:val="16"/>
                <w:lang w:val="en-US"/>
              </w:rPr>
              <w:t xml:space="preserve"> in </w:t>
            </w:r>
            <w:r>
              <w:rPr>
                <w:rFonts w:ascii="Arial" w:hAnsi="Arial" w:cs="Arial"/>
                <w:sz w:val="16"/>
                <w:szCs w:val="16"/>
                <w:lang w:val="en-US"/>
              </w:rPr>
              <w:t>Euro</w:t>
            </w:r>
            <w:r w:rsidRPr="00F3378C">
              <w:rPr>
                <w:rFonts w:ascii="Arial" w:hAnsi="Arial" w:cs="Arial"/>
                <w:sz w:val="16"/>
                <w:szCs w:val="16"/>
                <w:lang w:val="en-US"/>
              </w:rPr>
              <w:t>.</w:t>
            </w:r>
          </w:p>
          <w:p w14:paraId="147A7BB1" w14:textId="26AC5C2A" w:rsidR="00F3378C" w:rsidRPr="00F3378C" w:rsidRDefault="00F3378C" w:rsidP="00F3378C">
            <w:pPr>
              <w:pStyle w:val="ListParagraph"/>
              <w:numPr>
                <w:ilvl w:val="0"/>
                <w:numId w:val="11"/>
              </w:numPr>
              <w:spacing w:after="0" w:line="240" w:lineRule="auto"/>
              <w:jc w:val="both"/>
              <w:rPr>
                <w:rFonts w:ascii="Arial" w:hAnsi="Arial" w:cs="Arial"/>
                <w:sz w:val="16"/>
                <w:szCs w:val="16"/>
                <w:lang w:val="en-US"/>
              </w:rPr>
            </w:pPr>
            <w:r w:rsidRPr="00F3378C">
              <w:rPr>
                <w:rFonts w:ascii="Arial" w:hAnsi="Arial" w:cs="Arial"/>
                <w:sz w:val="16"/>
                <w:szCs w:val="16"/>
                <w:lang w:val="en-US"/>
              </w:rPr>
              <w:t>Please be aware that performance in the past is not indicative of future results.</w:t>
            </w:r>
          </w:p>
          <w:p w14:paraId="31BCD57D" w14:textId="77777777" w:rsidR="00B642D9" w:rsidRPr="006677C5" w:rsidRDefault="00B642D9" w:rsidP="00F1686A">
            <w:pPr>
              <w:pStyle w:val="ListParagraph"/>
              <w:spacing w:after="0" w:line="240" w:lineRule="auto"/>
              <w:jc w:val="both"/>
              <w:rPr>
                <w:rFonts w:ascii="Arial" w:hAnsi="Arial" w:cs="Arial"/>
                <w:sz w:val="16"/>
                <w:szCs w:val="16"/>
                <w:lang w:val="en-US"/>
              </w:rPr>
            </w:pPr>
          </w:p>
        </w:tc>
      </w:tr>
    </w:tbl>
    <w:p w14:paraId="07F25E43" w14:textId="77777777" w:rsidR="00B642D9" w:rsidRPr="006677C5" w:rsidRDefault="00B642D9" w:rsidP="00B642D9">
      <w:pPr>
        <w:spacing w:after="0" w:line="240" w:lineRule="auto"/>
        <w:jc w:val="both"/>
        <w:rPr>
          <w:rFonts w:ascii="Arial" w:hAnsi="Arial" w:cs="Arial"/>
          <w:b/>
          <w:sz w:val="16"/>
          <w:szCs w:val="16"/>
          <w:lang w:val="en-US"/>
        </w:rPr>
      </w:pPr>
    </w:p>
    <w:tbl>
      <w:tblPr>
        <w:tblStyle w:val="TableGrid"/>
        <w:tblW w:w="9180" w:type="dxa"/>
        <w:tblLook w:val="04A0" w:firstRow="1" w:lastRow="0" w:firstColumn="1" w:lastColumn="0" w:noHBand="0" w:noVBand="1"/>
      </w:tblPr>
      <w:tblGrid>
        <w:gridCol w:w="9180"/>
      </w:tblGrid>
      <w:tr w:rsidR="00B642D9" w:rsidRPr="006677C5" w14:paraId="16C618C8" w14:textId="77777777" w:rsidTr="006677C5">
        <w:tc>
          <w:tcPr>
            <w:tcW w:w="9180" w:type="dxa"/>
          </w:tcPr>
          <w:p w14:paraId="4C31F374" w14:textId="77777777" w:rsidR="006677C5" w:rsidRDefault="006677C5" w:rsidP="00F1686A">
            <w:pPr>
              <w:spacing w:after="0" w:line="240" w:lineRule="auto"/>
              <w:rPr>
                <w:rFonts w:ascii="Arial" w:hAnsi="Arial" w:cs="Arial"/>
                <w:b/>
                <w:sz w:val="16"/>
                <w:szCs w:val="16"/>
                <w:lang w:val="en-US"/>
              </w:rPr>
            </w:pPr>
          </w:p>
          <w:p w14:paraId="7816DBCC" w14:textId="77777777" w:rsidR="00B642D9" w:rsidRPr="006677C5" w:rsidRDefault="00B642D9" w:rsidP="00F1686A">
            <w:pPr>
              <w:spacing w:after="0" w:line="240" w:lineRule="auto"/>
              <w:rPr>
                <w:rFonts w:ascii="Arial" w:hAnsi="Arial" w:cs="Arial"/>
                <w:b/>
                <w:sz w:val="16"/>
                <w:szCs w:val="16"/>
                <w:lang w:val="en-US"/>
              </w:rPr>
            </w:pPr>
            <w:r w:rsidRPr="006677C5">
              <w:rPr>
                <w:rFonts w:ascii="Arial" w:hAnsi="Arial" w:cs="Arial"/>
                <w:b/>
                <w:sz w:val="16"/>
                <w:szCs w:val="16"/>
                <w:lang w:val="en-US"/>
              </w:rPr>
              <w:t>PRACTICAL INFORMATION</w:t>
            </w:r>
          </w:p>
          <w:p w14:paraId="1FFB0870" w14:textId="77777777" w:rsidR="00B642D9" w:rsidRPr="006677C5" w:rsidRDefault="00B642D9" w:rsidP="00F1686A">
            <w:pPr>
              <w:spacing w:after="0" w:line="240" w:lineRule="auto"/>
              <w:rPr>
                <w:rFonts w:ascii="Arial" w:hAnsi="Arial" w:cs="Arial"/>
                <w:b/>
                <w:sz w:val="16"/>
                <w:szCs w:val="16"/>
                <w:lang w:val="en-US"/>
              </w:rPr>
            </w:pPr>
          </w:p>
          <w:p w14:paraId="6FA81649" w14:textId="07DBA119" w:rsidR="00F3378C" w:rsidRPr="00F3378C" w:rsidRDefault="00F3378C" w:rsidP="00F3378C">
            <w:pPr>
              <w:pStyle w:val="ListParagraph"/>
              <w:numPr>
                <w:ilvl w:val="0"/>
                <w:numId w:val="12"/>
              </w:numPr>
              <w:spacing w:after="0" w:line="240" w:lineRule="auto"/>
              <w:jc w:val="both"/>
              <w:rPr>
                <w:rFonts w:ascii="Arial" w:hAnsi="Arial" w:cs="Arial"/>
                <w:b/>
                <w:sz w:val="16"/>
                <w:szCs w:val="16"/>
                <w:lang w:val="en-GB"/>
              </w:rPr>
            </w:pPr>
            <w:r w:rsidRPr="00F3378C">
              <w:rPr>
                <w:rFonts w:ascii="Arial" w:hAnsi="Arial" w:cs="Arial"/>
                <w:b/>
                <w:sz w:val="16"/>
                <w:szCs w:val="16"/>
                <w:lang w:val="en-US"/>
              </w:rPr>
              <w:t xml:space="preserve">Depositary: </w:t>
            </w:r>
            <w:proofErr w:type="spellStart"/>
            <w:r w:rsidR="003E7819">
              <w:rPr>
                <w:rFonts w:ascii="Arial" w:hAnsi="Arial" w:cs="Arial"/>
                <w:sz w:val="16"/>
                <w:szCs w:val="16"/>
                <w:lang w:val="fr-FR"/>
              </w:rPr>
              <w:t>Sparkasse</w:t>
            </w:r>
            <w:proofErr w:type="spellEnd"/>
            <w:r w:rsidR="003E7819">
              <w:rPr>
                <w:rFonts w:ascii="Arial" w:hAnsi="Arial" w:cs="Arial"/>
                <w:sz w:val="16"/>
                <w:szCs w:val="16"/>
                <w:lang w:val="fr-FR"/>
              </w:rPr>
              <w:t xml:space="preserve"> Bank Malta, Irish Branch</w:t>
            </w:r>
          </w:p>
          <w:p w14:paraId="1E6BD76C" w14:textId="77777777" w:rsidR="00F3378C" w:rsidRPr="00F3378C" w:rsidRDefault="00F3378C" w:rsidP="00F3378C">
            <w:pPr>
              <w:pStyle w:val="ListParagraph"/>
              <w:numPr>
                <w:ilvl w:val="0"/>
                <w:numId w:val="12"/>
              </w:numPr>
              <w:spacing w:after="0" w:line="240" w:lineRule="auto"/>
              <w:jc w:val="both"/>
              <w:rPr>
                <w:rFonts w:ascii="Arial" w:hAnsi="Arial" w:cs="Arial"/>
                <w:b/>
                <w:sz w:val="16"/>
                <w:szCs w:val="16"/>
                <w:lang w:val="en-GB"/>
              </w:rPr>
            </w:pPr>
            <w:r w:rsidRPr="00F3378C">
              <w:rPr>
                <w:rFonts w:ascii="Arial" w:hAnsi="Arial" w:cs="Arial"/>
                <w:b/>
                <w:iCs/>
                <w:color w:val="000000"/>
                <w:sz w:val="16"/>
                <w:szCs w:val="16"/>
                <w:lang w:val="en-GB" w:eastAsia="es-ES"/>
              </w:rPr>
              <w:t>Prospectus and Reports</w:t>
            </w:r>
            <w:r w:rsidRPr="00F3378C">
              <w:rPr>
                <w:rFonts w:ascii="Arial" w:hAnsi="Arial" w:cs="Arial"/>
                <w:iCs/>
                <w:color w:val="000000"/>
                <w:sz w:val="16"/>
                <w:szCs w:val="16"/>
                <w:lang w:val="en-GB" w:eastAsia="es-ES"/>
              </w:rPr>
              <w:t xml:space="preserve">: Further information about the Fund including copies in English of the Prospectus and the latest annual and half-yearly report, where available, may be obtained free of charge from the Manager and are also available on </w:t>
            </w:r>
            <w:r w:rsidRPr="00F3378C">
              <w:rPr>
                <w:rFonts w:ascii="Arial" w:hAnsi="Arial" w:cs="Arial"/>
                <w:iCs/>
                <w:sz w:val="16"/>
                <w:szCs w:val="16"/>
                <w:lang w:val="en-GB" w:eastAsia="es-ES"/>
              </w:rPr>
              <w:t>www.fcs-am.com</w:t>
            </w:r>
            <w:r w:rsidRPr="00F3378C">
              <w:rPr>
                <w:rFonts w:ascii="Arial" w:hAnsi="Arial" w:cs="Arial"/>
                <w:iCs/>
                <w:color w:val="000000"/>
                <w:sz w:val="16"/>
                <w:szCs w:val="16"/>
                <w:lang w:val="en-GB" w:eastAsia="es-ES"/>
              </w:rPr>
              <w:t>.</w:t>
            </w:r>
          </w:p>
          <w:p w14:paraId="2A34091A" w14:textId="77777777" w:rsidR="00F3378C" w:rsidRPr="00F3378C" w:rsidRDefault="00F3378C" w:rsidP="00F3378C">
            <w:pPr>
              <w:pStyle w:val="ListParagraph"/>
              <w:numPr>
                <w:ilvl w:val="0"/>
                <w:numId w:val="12"/>
              </w:numPr>
              <w:spacing w:after="0" w:line="240" w:lineRule="auto"/>
              <w:jc w:val="both"/>
              <w:rPr>
                <w:rFonts w:ascii="Arial" w:hAnsi="Arial" w:cs="Arial"/>
                <w:b/>
                <w:sz w:val="16"/>
                <w:szCs w:val="16"/>
                <w:lang w:val="en-GB"/>
              </w:rPr>
            </w:pPr>
            <w:r w:rsidRPr="00F3378C">
              <w:rPr>
                <w:rFonts w:ascii="Arial" w:hAnsi="Arial" w:cs="Arial"/>
                <w:b/>
                <w:sz w:val="16"/>
                <w:szCs w:val="16"/>
                <w:lang w:val="en-GB"/>
              </w:rPr>
              <w:t xml:space="preserve">NAV/Pricing: </w:t>
            </w:r>
            <w:proofErr w:type="gramStart"/>
            <w:r w:rsidRPr="00F3378C">
              <w:rPr>
                <w:rFonts w:ascii="Arial" w:hAnsi="Arial" w:cs="Arial"/>
                <w:sz w:val="16"/>
                <w:szCs w:val="16"/>
                <w:lang w:val="en-GB"/>
              </w:rPr>
              <w:t>The NAV of the Fund is calculated in Euro on each Business Day and will be published on www.fcs-am.com</w:t>
            </w:r>
            <w:proofErr w:type="gramEnd"/>
            <w:r w:rsidRPr="00F3378C">
              <w:rPr>
                <w:sz w:val="16"/>
                <w:szCs w:val="16"/>
              </w:rPr>
              <w:t xml:space="preserve"> </w:t>
            </w:r>
            <w:r w:rsidRPr="00F3378C">
              <w:rPr>
                <w:rFonts w:ascii="Arial" w:hAnsi="Arial" w:cs="Arial"/>
                <w:sz w:val="16"/>
                <w:szCs w:val="16"/>
                <w:lang w:val="en-GB"/>
              </w:rPr>
              <w:t>and will be available from the Manager during normal business hours.</w:t>
            </w:r>
            <w:r w:rsidRPr="00F3378C">
              <w:rPr>
                <w:rFonts w:ascii="Arial" w:hAnsi="Arial" w:cs="Arial"/>
                <w:b/>
                <w:sz w:val="16"/>
                <w:szCs w:val="16"/>
                <w:lang w:val="en-GB"/>
              </w:rPr>
              <w:t xml:space="preserve"> </w:t>
            </w:r>
          </w:p>
          <w:p w14:paraId="294DED22" w14:textId="77777777" w:rsidR="00F3378C" w:rsidRPr="00F3378C" w:rsidRDefault="00F3378C" w:rsidP="00F3378C">
            <w:pPr>
              <w:pStyle w:val="ListParagraph"/>
              <w:numPr>
                <w:ilvl w:val="0"/>
                <w:numId w:val="12"/>
              </w:numPr>
              <w:spacing w:after="0" w:line="240" w:lineRule="auto"/>
              <w:jc w:val="both"/>
              <w:rPr>
                <w:rFonts w:ascii="Arial" w:hAnsi="Arial" w:cs="Arial"/>
                <w:b/>
                <w:sz w:val="16"/>
                <w:szCs w:val="16"/>
                <w:lang w:val="en-GB"/>
              </w:rPr>
            </w:pPr>
            <w:r w:rsidRPr="00F3378C">
              <w:rPr>
                <w:rFonts w:ascii="Arial" w:hAnsi="Arial" w:cs="Arial"/>
                <w:b/>
                <w:sz w:val="16"/>
                <w:szCs w:val="16"/>
                <w:lang w:val="en-GB"/>
              </w:rPr>
              <w:t xml:space="preserve">Tax: </w:t>
            </w:r>
            <w:r w:rsidRPr="00F3378C">
              <w:rPr>
                <w:rFonts w:ascii="Arial" w:hAnsi="Arial" w:cs="Arial"/>
                <w:sz w:val="16"/>
                <w:szCs w:val="16"/>
                <w:lang w:val="en-GB"/>
              </w:rPr>
              <w:t>The Fund is subject to the tax laws and regulations of Ireland. Depending on your home country of residence, this might have an impact on your investment. For further details, please speak to a financial adviser.</w:t>
            </w:r>
          </w:p>
          <w:p w14:paraId="2D8EFE28" w14:textId="77777777" w:rsidR="00F3378C" w:rsidRPr="00F3378C" w:rsidRDefault="00F3378C" w:rsidP="00F3378C">
            <w:pPr>
              <w:pStyle w:val="ListParagraph"/>
              <w:numPr>
                <w:ilvl w:val="0"/>
                <w:numId w:val="12"/>
              </w:numPr>
              <w:spacing w:after="0" w:line="240" w:lineRule="auto"/>
              <w:jc w:val="both"/>
              <w:rPr>
                <w:rFonts w:ascii="Arial" w:hAnsi="Arial" w:cs="Arial"/>
                <w:b/>
                <w:sz w:val="16"/>
                <w:szCs w:val="16"/>
                <w:lang w:val="en-GB"/>
              </w:rPr>
            </w:pPr>
            <w:r w:rsidRPr="00F3378C">
              <w:rPr>
                <w:rFonts w:ascii="Arial" w:hAnsi="Arial" w:cs="Arial"/>
                <w:b/>
                <w:iCs/>
                <w:color w:val="000000"/>
                <w:sz w:val="16"/>
                <w:szCs w:val="16"/>
                <w:lang w:val="en-GB" w:eastAsia="es-ES"/>
              </w:rPr>
              <w:t xml:space="preserve">Umbrella UCITS: </w:t>
            </w:r>
            <w:r w:rsidRPr="00F3378C">
              <w:rPr>
                <w:rFonts w:ascii="Arial" w:hAnsi="Arial" w:cs="Arial"/>
                <w:iCs/>
                <w:color w:val="000000"/>
                <w:sz w:val="16"/>
                <w:szCs w:val="16"/>
                <w:lang w:val="en-GB" w:eastAsia="es-ES"/>
              </w:rPr>
              <w:t>The Fund is a sub-fund of the ICAV, an umbrella fund with segregated liability between sub-funds, subject to the provisions of Irish law. You can find out more information about the umbrella structure in the Prospectus. The Prospectus and periodic reports are in the name of the ICAV.</w:t>
            </w:r>
          </w:p>
          <w:p w14:paraId="111A8A60" w14:textId="77777777" w:rsidR="00F3378C" w:rsidRPr="00F3378C" w:rsidRDefault="00F3378C" w:rsidP="00F3378C">
            <w:pPr>
              <w:pStyle w:val="ACPIBulletPoint"/>
              <w:numPr>
                <w:ilvl w:val="0"/>
                <w:numId w:val="12"/>
              </w:numPr>
              <w:spacing w:after="0"/>
              <w:ind w:left="714" w:hanging="357"/>
              <w:rPr>
                <w:rFonts w:cs="Arial"/>
                <w:noProof/>
                <w:color w:val="auto"/>
                <w:sz w:val="16"/>
                <w:szCs w:val="16"/>
                <w:lang w:val="en-US"/>
              </w:rPr>
            </w:pPr>
            <w:r w:rsidRPr="00F3378C">
              <w:rPr>
                <w:b/>
                <w:color w:val="auto"/>
                <w:sz w:val="16"/>
                <w:szCs w:val="16"/>
              </w:rPr>
              <w:t>Remuneration:</w:t>
            </w:r>
            <w:r w:rsidRPr="00F3378C">
              <w:rPr>
                <w:color w:val="auto"/>
                <w:sz w:val="16"/>
                <w:szCs w:val="16"/>
              </w:rPr>
              <w:t xml:space="preserve"> Details of the </w:t>
            </w:r>
            <w:r w:rsidRPr="00F3378C">
              <w:rPr>
                <w:rFonts w:cs="Arial"/>
                <w:noProof/>
                <w:color w:val="auto"/>
                <w:sz w:val="16"/>
                <w:szCs w:val="16"/>
                <w:lang w:val="en-US"/>
              </w:rPr>
              <w:t xml:space="preserve">Manager’s </w:t>
            </w:r>
            <w:r w:rsidRPr="00F3378C">
              <w:rPr>
                <w:color w:val="auto"/>
                <w:sz w:val="16"/>
                <w:szCs w:val="16"/>
              </w:rPr>
              <w:t xml:space="preserve">up-to-date remuneration policy, including, but not limited to, a description of how remuneration and benefits are calculated, the identity of persons responsible for awarding the remuneration and benefits are available at the following website </w:t>
            </w:r>
            <w:r w:rsidRPr="00F3378C">
              <w:rPr>
                <w:rFonts w:cs="Arial"/>
                <w:iCs/>
                <w:color w:val="auto"/>
                <w:sz w:val="16"/>
                <w:szCs w:val="16"/>
                <w:lang w:eastAsia="es-ES"/>
              </w:rPr>
              <w:t>www.fcs-am.com</w:t>
            </w:r>
            <w:r w:rsidRPr="00F3378C">
              <w:rPr>
                <w:color w:val="auto"/>
                <w:sz w:val="16"/>
                <w:szCs w:val="16"/>
              </w:rPr>
              <w:t xml:space="preserve"> and a paper copy of such remuneration policy is available to investors free of charge upon request.</w:t>
            </w:r>
          </w:p>
          <w:p w14:paraId="423B3847" w14:textId="77777777" w:rsidR="00F3378C" w:rsidRPr="00F3378C" w:rsidRDefault="00F3378C" w:rsidP="00F3378C">
            <w:pPr>
              <w:pStyle w:val="ACPIBulletPoint"/>
              <w:numPr>
                <w:ilvl w:val="0"/>
                <w:numId w:val="12"/>
              </w:numPr>
              <w:spacing w:after="0"/>
              <w:ind w:left="714" w:hanging="357"/>
              <w:rPr>
                <w:rFonts w:cs="Arial"/>
                <w:noProof/>
                <w:color w:val="auto"/>
                <w:sz w:val="16"/>
                <w:szCs w:val="16"/>
                <w:lang w:val="en-US"/>
              </w:rPr>
            </w:pPr>
            <w:r w:rsidRPr="00F3378C">
              <w:rPr>
                <w:rFonts w:cs="Arial"/>
                <w:iCs/>
                <w:color w:val="000000"/>
                <w:sz w:val="16"/>
                <w:szCs w:val="16"/>
                <w:lang w:eastAsia="es-ES"/>
              </w:rPr>
              <w:t xml:space="preserve">The Manager may be held liable solely </w:t>
            </w:r>
            <w:proofErr w:type="gramStart"/>
            <w:r w:rsidRPr="00F3378C">
              <w:rPr>
                <w:rFonts w:cs="Arial"/>
                <w:iCs/>
                <w:color w:val="000000"/>
                <w:sz w:val="16"/>
                <w:szCs w:val="16"/>
                <w:lang w:eastAsia="es-ES"/>
              </w:rPr>
              <w:t>on the basis of</w:t>
            </w:r>
            <w:proofErr w:type="gramEnd"/>
            <w:r w:rsidRPr="00F3378C">
              <w:rPr>
                <w:rFonts w:cs="Arial"/>
                <w:iCs/>
                <w:color w:val="000000"/>
                <w:sz w:val="16"/>
                <w:szCs w:val="16"/>
                <w:lang w:eastAsia="es-ES"/>
              </w:rPr>
              <w:t xml:space="preserve"> any statement contained in this document that is misleading, inaccurate or inconsistent with the relevant parts of the Prospectus for the ICAV.</w:t>
            </w:r>
          </w:p>
          <w:p w14:paraId="74EAC67E" w14:textId="77777777" w:rsidR="00F3378C" w:rsidRPr="00F3378C" w:rsidRDefault="00F3378C" w:rsidP="00F3378C">
            <w:pPr>
              <w:spacing w:after="0" w:line="240" w:lineRule="auto"/>
              <w:jc w:val="both"/>
              <w:rPr>
                <w:rFonts w:ascii="Arial" w:hAnsi="Arial" w:cs="Arial"/>
                <w:sz w:val="16"/>
                <w:szCs w:val="16"/>
                <w:lang w:val="en-US"/>
              </w:rPr>
            </w:pPr>
          </w:p>
          <w:p w14:paraId="6DCDD3A5" w14:textId="77777777" w:rsidR="00F3378C" w:rsidRPr="00F3378C" w:rsidRDefault="00F3378C" w:rsidP="00F3378C">
            <w:pPr>
              <w:spacing w:after="0" w:line="240" w:lineRule="auto"/>
              <w:jc w:val="both"/>
              <w:rPr>
                <w:rFonts w:ascii="Arial" w:hAnsi="Arial" w:cs="Arial"/>
                <w:sz w:val="16"/>
                <w:szCs w:val="16"/>
                <w:lang w:val="en-US"/>
              </w:rPr>
            </w:pPr>
            <w:r w:rsidRPr="00F3378C">
              <w:rPr>
                <w:rFonts w:ascii="Arial" w:hAnsi="Arial" w:cs="Arial"/>
                <w:sz w:val="16"/>
                <w:szCs w:val="16"/>
                <w:lang w:val="en-US"/>
              </w:rPr>
              <w:t xml:space="preserve">THE ICAV IS AUTHORISED IN IRELAND AND REGULATED BY THE CENTRAL BANK OF IRELAND. </w:t>
            </w:r>
          </w:p>
          <w:p w14:paraId="0C3D5529" w14:textId="77777777" w:rsidR="00F3378C" w:rsidRPr="00F3378C" w:rsidRDefault="00F3378C" w:rsidP="00F3378C">
            <w:pPr>
              <w:spacing w:after="0" w:line="240" w:lineRule="auto"/>
              <w:jc w:val="both"/>
              <w:rPr>
                <w:rFonts w:ascii="Arial" w:hAnsi="Arial" w:cs="Arial"/>
                <w:sz w:val="16"/>
                <w:szCs w:val="16"/>
                <w:lang w:val="en-US"/>
              </w:rPr>
            </w:pPr>
          </w:p>
          <w:p w14:paraId="27F8AEE2" w14:textId="77777777" w:rsidR="00F3378C" w:rsidRPr="00F3378C" w:rsidRDefault="00F3378C" w:rsidP="00F3378C">
            <w:pPr>
              <w:spacing w:after="0" w:line="240" w:lineRule="auto"/>
              <w:jc w:val="both"/>
              <w:rPr>
                <w:rFonts w:ascii="Arial" w:hAnsi="Arial" w:cs="Arial"/>
                <w:sz w:val="16"/>
                <w:szCs w:val="16"/>
                <w:lang w:val="en-US"/>
              </w:rPr>
            </w:pPr>
            <w:r w:rsidRPr="00F3378C">
              <w:rPr>
                <w:rFonts w:ascii="Arial" w:hAnsi="Arial" w:cs="Arial"/>
                <w:sz w:val="16"/>
                <w:szCs w:val="16"/>
                <w:lang w:val="en-US"/>
              </w:rPr>
              <w:t xml:space="preserve">THE MANAGER IS AUTHORISED IN MALTA BY THE MALTA FINANCIAL SERVICES AUTHORITY. </w:t>
            </w:r>
          </w:p>
          <w:p w14:paraId="0A59D54B" w14:textId="77777777" w:rsidR="00F3378C" w:rsidRPr="00F3378C" w:rsidRDefault="00F3378C" w:rsidP="00F3378C">
            <w:pPr>
              <w:spacing w:after="0" w:line="240" w:lineRule="auto"/>
              <w:jc w:val="both"/>
              <w:rPr>
                <w:rFonts w:ascii="Arial" w:hAnsi="Arial" w:cs="Arial"/>
                <w:sz w:val="16"/>
                <w:szCs w:val="16"/>
                <w:lang w:val="en-US"/>
              </w:rPr>
            </w:pPr>
          </w:p>
          <w:p w14:paraId="70FC3690" w14:textId="01A4506A" w:rsidR="00B642D9" w:rsidRPr="006677C5" w:rsidRDefault="00F3378C" w:rsidP="00813C86">
            <w:pPr>
              <w:spacing w:after="0" w:line="240" w:lineRule="auto"/>
              <w:jc w:val="both"/>
              <w:rPr>
                <w:rFonts w:ascii="Arial" w:hAnsi="Arial" w:cs="Arial"/>
                <w:sz w:val="16"/>
                <w:szCs w:val="16"/>
                <w:lang w:val="en-US"/>
              </w:rPr>
            </w:pPr>
            <w:r w:rsidRPr="00F3378C">
              <w:rPr>
                <w:rFonts w:ascii="Arial" w:hAnsi="Arial" w:cs="Arial"/>
                <w:sz w:val="16"/>
                <w:szCs w:val="16"/>
                <w:lang w:val="en-US"/>
              </w:rPr>
              <w:t xml:space="preserve">THIS KEY INVESTOR INFORMATION DOCUMENT IS ACCURATE AS AT </w:t>
            </w:r>
            <w:r w:rsidR="00813C86">
              <w:rPr>
                <w:rFonts w:ascii="Arial" w:hAnsi="Arial" w:cs="Arial"/>
                <w:sz w:val="16"/>
                <w:szCs w:val="16"/>
                <w:lang w:val="en-US"/>
              </w:rPr>
              <w:t>20 NOVEMBER</w:t>
            </w:r>
            <w:r w:rsidRPr="00F3378C">
              <w:rPr>
                <w:rFonts w:ascii="Arial" w:hAnsi="Arial" w:cs="Arial"/>
                <w:sz w:val="16"/>
                <w:szCs w:val="16"/>
                <w:lang w:val="en-US"/>
              </w:rPr>
              <w:t>, 2020</w:t>
            </w:r>
          </w:p>
        </w:tc>
      </w:tr>
    </w:tbl>
    <w:p w14:paraId="48B16016" w14:textId="77777777" w:rsidR="000B0AE0" w:rsidRPr="006677C5" w:rsidRDefault="000B0AE0" w:rsidP="00B642D9">
      <w:pPr>
        <w:rPr>
          <w:sz w:val="16"/>
          <w:szCs w:val="16"/>
        </w:rPr>
      </w:pPr>
    </w:p>
    <w:sectPr w:rsidR="000B0AE0" w:rsidRPr="006677C5" w:rsidSect="004B59B1">
      <w:headerReference w:type="even" r:id="rId7"/>
      <w:headerReference w:type="default" r:id="rId8"/>
      <w:footerReference w:type="even" r:id="rId9"/>
      <w:footerReference w:type="default" r:id="rId10"/>
      <w:headerReference w:type="first" r:id="rId11"/>
      <w:footerReference w:type="first" r:id="rId12"/>
      <w:pgSz w:w="11906" w:h="16838"/>
      <w:pgMar w:top="737"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0043E" w14:textId="77777777" w:rsidR="00E95B24" w:rsidRDefault="00E95B24" w:rsidP="0078256B">
      <w:pPr>
        <w:spacing w:after="0" w:line="240" w:lineRule="auto"/>
      </w:pPr>
      <w:r>
        <w:separator/>
      </w:r>
    </w:p>
  </w:endnote>
  <w:endnote w:type="continuationSeparator" w:id="0">
    <w:p w14:paraId="7790FB77" w14:textId="77777777" w:rsidR="00E95B24" w:rsidRDefault="00E95B24" w:rsidP="0078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altName w:val="Malgun Gothic"/>
    <w:panose1 w:val="00000000000000000000"/>
    <w:charset w:val="81"/>
    <w:family w:val="auto"/>
    <w:notTrueType/>
    <w:pitch w:val="default"/>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AB1E" w14:textId="77777777" w:rsidR="00C3368B" w:rsidRPr="00423D46" w:rsidRDefault="00C3368B" w:rsidP="00423D46">
    <w:pPr>
      <w:pStyle w:val="Footer"/>
    </w:pPr>
    <w:r>
      <w:rPr>
        <w:sz w:val="14"/>
      </w:rPr>
      <w:fldChar w:fldCharType="begin"/>
    </w:r>
    <w:r>
      <w:rPr>
        <w:sz w:val="14"/>
      </w:rPr>
      <w:instrText xml:space="preserve"> DOCPROPERTY  "DocRef"  \* MERGEFORMAT </w:instrText>
    </w:r>
    <w:r>
      <w:rPr>
        <w:sz w:val="14"/>
      </w:rPr>
      <w:fldChar w:fldCharType="separate"/>
    </w:r>
    <w:r w:rsidR="008D0590">
      <w:rPr>
        <w:sz w:val="14"/>
      </w:rPr>
      <w:t>/8574903v1</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8B13C" w14:textId="77777777" w:rsidR="00C3368B" w:rsidRPr="00423D46" w:rsidRDefault="00C3368B" w:rsidP="00423D46">
    <w:pPr>
      <w:pStyle w:val="Footer"/>
    </w:pPr>
    <w:r>
      <w:rPr>
        <w:sz w:val="14"/>
      </w:rPr>
      <w:fldChar w:fldCharType="begin"/>
    </w:r>
    <w:r>
      <w:rPr>
        <w:sz w:val="14"/>
      </w:rPr>
      <w:instrText xml:space="preserve"> DOCPROPERTY  "DocRef"  \* MERGEFORMAT </w:instrText>
    </w:r>
    <w:r>
      <w:rPr>
        <w:sz w:val="14"/>
      </w:rPr>
      <w:fldChar w:fldCharType="separate"/>
    </w:r>
    <w:r w:rsidR="008D0590">
      <w:rPr>
        <w:sz w:val="14"/>
      </w:rPr>
      <w:t>/8574903v1</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B17C8" w14:textId="77777777" w:rsidR="00C3368B" w:rsidRPr="00423D46" w:rsidRDefault="00C3368B">
    <w:pPr>
      <w:pStyle w:val="Footer"/>
    </w:pPr>
    <w:r>
      <w:rPr>
        <w:sz w:val="14"/>
      </w:rPr>
      <w:fldChar w:fldCharType="begin"/>
    </w:r>
    <w:r>
      <w:rPr>
        <w:sz w:val="14"/>
      </w:rPr>
      <w:instrText xml:space="preserve"> DOCPROPERTY  "DocRef"  \* MERGEFORMAT </w:instrText>
    </w:r>
    <w:r>
      <w:rPr>
        <w:sz w:val="14"/>
      </w:rPr>
      <w:fldChar w:fldCharType="separate"/>
    </w:r>
    <w:r w:rsidR="008D0590">
      <w:rPr>
        <w:sz w:val="14"/>
      </w:rPr>
      <w:t>/8574903v1</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8393C" w14:textId="77777777" w:rsidR="00E95B24" w:rsidRDefault="00E95B24" w:rsidP="0078256B">
      <w:pPr>
        <w:spacing w:after="0" w:line="240" w:lineRule="auto"/>
      </w:pPr>
      <w:r>
        <w:separator/>
      </w:r>
    </w:p>
  </w:footnote>
  <w:footnote w:type="continuationSeparator" w:id="0">
    <w:p w14:paraId="3B32658C" w14:textId="77777777" w:rsidR="00E95B24" w:rsidRDefault="00E95B24" w:rsidP="00782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4E9CF" w14:textId="77777777" w:rsidR="008D0590" w:rsidRDefault="008D0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5D13" w14:textId="77777777" w:rsidR="008D0590" w:rsidRDefault="008D0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D4972" w14:textId="77777777" w:rsidR="008D0590" w:rsidRDefault="008D0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2F99"/>
    <w:multiLevelType w:val="hybridMultilevel"/>
    <w:tmpl w:val="59AA56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ED539D"/>
    <w:multiLevelType w:val="hybridMultilevel"/>
    <w:tmpl w:val="F126E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2A0936"/>
    <w:multiLevelType w:val="hybridMultilevel"/>
    <w:tmpl w:val="F5D82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2C4BBD"/>
    <w:multiLevelType w:val="hybridMultilevel"/>
    <w:tmpl w:val="BFD00B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0F2A42"/>
    <w:multiLevelType w:val="hybridMultilevel"/>
    <w:tmpl w:val="CE4005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382285"/>
    <w:multiLevelType w:val="hybridMultilevel"/>
    <w:tmpl w:val="EE7237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6348B9"/>
    <w:multiLevelType w:val="hybridMultilevel"/>
    <w:tmpl w:val="10C80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D81B6E"/>
    <w:multiLevelType w:val="hybridMultilevel"/>
    <w:tmpl w:val="0D9EE1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BE56CD"/>
    <w:multiLevelType w:val="hybridMultilevel"/>
    <w:tmpl w:val="80523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AB479E"/>
    <w:multiLevelType w:val="hybridMultilevel"/>
    <w:tmpl w:val="9DFE9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563501"/>
    <w:multiLevelType w:val="hybridMultilevel"/>
    <w:tmpl w:val="457C3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B756E4"/>
    <w:multiLevelType w:val="hybridMultilevel"/>
    <w:tmpl w:val="49884570"/>
    <w:lvl w:ilvl="0" w:tplc="5DF2689E">
      <w:start w:val="1"/>
      <w:numFmt w:val="bullet"/>
      <w:pStyle w:val="ACPIBulletPoin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0F58A8"/>
    <w:multiLevelType w:val="hybridMultilevel"/>
    <w:tmpl w:val="BD36569E"/>
    <w:lvl w:ilvl="0" w:tplc="0C0A0001">
      <w:start w:val="1"/>
      <w:numFmt w:val="bullet"/>
      <w:lvlText w:val=""/>
      <w:lvlJc w:val="left"/>
      <w:pPr>
        <w:ind w:left="6000" w:hanging="360"/>
      </w:pPr>
      <w:rPr>
        <w:rFonts w:ascii="Symbol" w:hAnsi="Symbol" w:hint="default"/>
      </w:rPr>
    </w:lvl>
    <w:lvl w:ilvl="1" w:tplc="0C0A0003" w:tentative="1">
      <w:start w:val="1"/>
      <w:numFmt w:val="bullet"/>
      <w:lvlText w:val="o"/>
      <w:lvlJc w:val="left"/>
      <w:pPr>
        <w:ind w:left="6720" w:hanging="360"/>
      </w:pPr>
      <w:rPr>
        <w:rFonts w:ascii="Courier New" w:hAnsi="Courier New" w:hint="default"/>
      </w:rPr>
    </w:lvl>
    <w:lvl w:ilvl="2" w:tplc="0C0A0005" w:tentative="1">
      <w:start w:val="1"/>
      <w:numFmt w:val="bullet"/>
      <w:lvlText w:val=""/>
      <w:lvlJc w:val="left"/>
      <w:pPr>
        <w:ind w:left="7440" w:hanging="360"/>
      </w:pPr>
      <w:rPr>
        <w:rFonts w:ascii="Wingdings" w:hAnsi="Wingdings" w:hint="default"/>
      </w:rPr>
    </w:lvl>
    <w:lvl w:ilvl="3" w:tplc="0C0A0001" w:tentative="1">
      <w:start w:val="1"/>
      <w:numFmt w:val="bullet"/>
      <w:lvlText w:val=""/>
      <w:lvlJc w:val="left"/>
      <w:pPr>
        <w:ind w:left="8160" w:hanging="360"/>
      </w:pPr>
      <w:rPr>
        <w:rFonts w:ascii="Symbol" w:hAnsi="Symbol" w:hint="default"/>
      </w:rPr>
    </w:lvl>
    <w:lvl w:ilvl="4" w:tplc="0C0A0003" w:tentative="1">
      <w:start w:val="1"/>
      <w:numFmt w:val="bullet"/>
      <w:lvlText w:val="o"/>
      <w:lvlJc w:val="left"/>
      <w:pPr>
        <w:ind w:left="8880" w:hanging="360"/>
      </w:pPr>
      <w:rPr>
        <w:rFonts w:ascii="Courier New" w:hAnsi="Courier New" w:hint="default"/>
      </w:rPr>
    </w:lvl>
    <w:lvl w:ilvl="5" w:tplc="0C0A0005" w:tentative="1">
      <w:start w:val="1"/>
      <w:numFmt w:val="bullet"/>
      <w:lvlText w:val=""/>
      <w:lvlJc w:val="left"/>
      <w:pPr>
        <w:ind w:left="9600" w:hanging="360"/>
      </w:pPr>
      <w:rPr>
        <w:rFonts w:ascii="Wingdings" w:hAnsi="Wingdings" w:hint="default"/>
      </w:rPr>
    </w:lvl>
    <w:lvl w:ilvl="6" w:tplc="0C0A0001" w:tentative="1">
      <w:start w:val="1"/>
      <w:numFmt w:val="bullet"/>
      <w:lvlText w:val=""/>
      <w:lvlJc w:val="left"/>
      <w:pPr>
        <w:ind w:left="10320" w:hanging="360"/>
      </w:pPr>
      <w:rPr>
        <w:rFonts w:ascii="Symbol" w:hAnsi="Symbol" w:hint="default"/>
      </w:rPr>
    </w:lvl>
    <w:lvl w:ilvl="7" w:tplc="0C0A0003" w:tentative="1">
      <w:start w:val="1"/>
      <w:numFmt w:val="bullet"/>
      <w:lvlText w:val="o"/>
      <w:lvlJc w:val="left"/>
      <w:pPr>
        <w:ind w:left="11040" w:hanging="360"/>
      </w:pPr>
      <w:rPr>
        <w:rFonts w:ascii="Courier New" w:hAnsi="Courier New" w:hint="default"/>
      </w:rPr>
    </w:lvl>
    <w:lvl w:ilvl="8" w:tplc="0C0A0005" w:tentative="1">
      <w:start w:val="1"/>
      <w:numFmt w:val="bullet"/>
      <w:lvlText w:val=""/>
      <w:lvlJc w:val="left"/>
      <w:pPr>
        <w:ind w:left="11760" w:hanging="360"/>
      </w:pPr>
      <w:rPr>
        <w:rFonts w:ascii="Wingdings" w:hAnsi="Wingdings" w:hint="default"/>
      </w:rPr>
    </w:lvl>
  </w:abstractNum>
  <w:abstractNum w:abstractNumId="13" w15:restartNumberingAfterBreak="0">
    <w:nsid w:val="5F9066E9"/>
    <w:multiLevelType w:val="hybridMultilevel"/>
    <w:tmpl w:val="6A7A6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8DB3836"/>
    <w:multiLevelType w:val="hybridMultilevel"/>
    <w:tmpl w:val="6A6891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10"/>
  </w:num>
  <w:num w:numId="5">
    <w:abstractNumId w:val="0"/>
  </w:num>
  <w:num w:numId="6">
    <w:abstractNumId w:val="9"/>
  </w:num>
  <w:num w:numId="7">
    <w:abstractNumId w:val="14"/>
  </w:num>
  <w:num w:numId="8">
    <w:abstractNumId w:val="4"/>
  </w:num>
  <w:num w:numId="9">
    <w:abstractNumId w:val="1"/>
  </w:num>
  <w:num w:numId="10">
    <w:abstractNumId w:val="8"/>
  </w:num>
  <w:num w:numId="11">
    <w:abstractNumId w:val="3"/>
  </w:num>
  <w:num w:numId="12">
    <w:abstractNumId w:val="5"/>
  </w:num>
  <w:num w:numId="13">
    <w:abstractNumId w:val="1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35"/>
    <w:rsid w:val="00003AB6"/>
    <w:rsid w:val="0001170F"/>
    <w:rsid w:val="00014F49"/>
    <w:rsid w:val="00020FB3"/>
    <w:rsid w:val="00033EE6"/>
    <w:rsid w:val="00062A37"/>
    <w:rsid w:val="00074151"/>
    <w:rsid w:val="00077479"/>
    <w:rsid w:val="0008170C"/>
    <w:rsid w:val="00084278"/>
    <w:rsid w:val="00091F4C"/>
    <w:rsid w:val="00097C53"/>
    <w:rsid w:val="000A4CF8"/>
    <w:rsid w:val="000A5040"/>
    <w:rsid w:val="000A6379"/>
    <w:rsid w:val="000B0AE0"/>
    <w:rsid w:val="000D2FEB"/>
    <w:rsid w:val="000E48BC"/>
    <w:rsid w:val="000E744E"/>
    <w:rsid w:val="000F5C1E"/>
    <w:rsid w:val="000F7BB7"/>
    <w:rsid w:val="00105177"/>
    <w:rsid w:val="001113BB"/>
    <w:rsid w:val="001123CC"/>
    <w:rsid w:val="00117F12"/>
    <w:rsid w:val="00133055"/>
    <w:rsid w:val="00133111"/>
    <w:rsid w:val="00141A26"/>
    <w:rsid w:val="00144A6E"/>
    <w:rsid w:val="00152E96"/>
    <w:rsid w:val="001725D4"/>
    <w:rsid w:val="00192053"/>
    <w:rsid w:val="00197637"/>
    <w:rsid w:val="001A0D7E"/>
    <w:rsid w:val="001B0D8A"/>
    <w:rsid w:val="001B1D6E"/>
    <w:rsid w:val="001B534A"/>
    <w:rsid w:val="001E1FD9"/>
    <w:rsid w:val="001F3113"/>
    <w:rsid w:val="001F4105"/>
    <w:rsid w:val="001F4D4C"/>
    <w:rsid w:val="002117C5"/>
    <w:rsid w:val="00211AD3"/>
    <w:rsid w:val="0021274A"/>
    <w:rsid w:val="002217E2"/>
    <w:rsid w:val="00222352"/>
    <w:rsid w:val="002314E2"/>
    <w:rsid w:val="00237EA9"/>
    <w:rsid w:val="0024584B"/>
    <w:rsid w:val="002472AF"/>
    <w:rsid w:val="00251CAB"/>
    <w:rsid w:val="002575D6"/>
    <w:rsid w:val="00266D7D"/>
    <w:rsid w:val="00266E5E"/>
    <w:rsid w:val="00281FE6"/>
    <w:rsid w:val="002A1A9F"/>
    <w:rsid w:val="002A5C78"/>
    <w:rsid w:val="002B2800"/>
    <w:rsid w:val="002B54D0"/>
    <w:rsid w:val="002E356C"/>
    <w:rsid w:val="00302E8E"/>
    <w:rsid w:val="0031125A"/>
    <w:rsid w:val="003129C3"/>
    <w:rsid w:val="00314835"/>
    <w:rsid w:val="003220D2"/>
    <w:rsid w:val="0032614F"/>
    <w:rsid w:val="00335F0B"/>
    <w:rsid w:val="00340E0B"/>
    <w:rsid w:val="003617C6"/>
    <w:rsid w:val="00363223"/>
    <w:rsid w:val="00363955"/>
    <w:rsid w:val="0037063A"/>
    <w:rsid w:val="0037167A"/>
    <w:rsid w:val="00371F99"/>
    <w:rsid w:val="00373A0A"/>
    <w:rsid w:val="003764D5"/>
    <w:rsid w:val="00391C15"/>
    <w:rsid w:val="00393068"/>
    <w:rsid w:val="00397E08"/>
    <w:rsid w:val="003B5340"/>
    <w:rsid w:val="003C117C"/>
    <w:rsid w:val="003D73A3"/>
    <w:rsid w:val="003E20D5"/>
    <w:rsid w:val="003E7819"/>
    <w:rsid w:val="003F02A1"/>
    <w:rsid w:val="003F0675"/>
    <w:rsid w:val="003F2DC7"/>
    <w:rsid w:val="003F6540"/>
    <w:rsid w:val="004002D5"/>
    <w:rsid w:val="0040176D"/>
    <w:rsid w:val="0040779D"/>
    <w:rsid w:val="00423D46"/>
    <w:rsid w:val="00432810"/>
    <w:rsid w:val="004369FF"/>
    <w:rsid w:val="0045293E"/>
    <w:rsid w:val="00452FE9"/>
    <w:rsid w:val="0046151E"/>
    <w:rsid w:val="00462CEC"/>
    <w:rsid w:val="00464089"/>
    <w:rsid w:val="00464A1C"/>
    <w:rsid w:val="00465371"/>
    <w:rsid w:val="00476D59"/>
    <w:rsid w:val="004844EF"/>
    <w:rsid w:val="0048476C"/>
    <w:rsid w:val="00497CCE"/>
    <w:rsid w:val="004A5575"/>
    <w:rsid w:val="004B59B1"/>
    <w:rsid w:val="004C5D98"/>
    <w:rsid w:val="004D5A2F"/>
    <w:rsid w:val="004E2F41"/>
    <w:rsid w:val="004F2D6A"/>
    <w:rsid w:val="005008E5"/>
    <w:rsid w:val="005019F1"/>
    <w:rsid w:val="00522595"/>
    <w:rsid w:val="00523B6A"/>
    <w:rsid w:val="0052759D"/>
    <w:rsid w:val="00533674"/>
    <w:rsid w:val="0053711D"/>
    <w:rsid w:val="00541D42"/>
    <w:rsid w:val="005437A7"/>
    <w:rsid w:val="0055735C"/>
    <w:rsid w:val="00565EE5"/>
    <w:rsid w:val="005819F2"/>
    <w:rsid w:val="005A697F"/>
    <w:rsid w:val="005A77F7"/>
    <w:rsid w:val="005B44F6"/>
    <w:rsid w:val="005C0223"/>
    <w:rsid w:val="005C798B"/>
    <w:rsid w:val="005D091F"/>
    <w:rsid w:val="005D5087"/>
    <w:rsid w:val="005F0C81"/>
    <w:rsid w:val="0061100E"/>
    <w:rsid w:val="006251AA"/>
    <w:rsid w:val="00631A4C"/>
    <w:rsid w:val="006325E5"/>
    <w:rsid w:val="00632AC3"/>
    <w:rsid w:val="00635F8D"/>
    <w:rsid w:val="00640E2D"/>
    <w:rsid w:val="00662969"/>
    <w:rsid w:val="00663F64"/>
    <w:rsid w:val="006677C5"/>
    <w:rsid w:val="00672830"/>
    <w:rsid w:val="00673C4E"/>
    <w:rsid w:val="00675C56"/>
    <w:rsid w:val="00684F4F"/>
    <w:rsid w:val="006926BD"/>
    <w:rsid w:val="006939DC"/>
    <w:rsid w:val="0069450B"/>
    <w:rsid w:val="006B0FA7"/>
    <w:rsid w:val="006E2D30"/>
    <w:rsid w:val="00717C79"/>
    <w:rsid w:val="00724EEC"/>
    <w:rsid w:val="00735385"/>
    <w:rsid w:val="00745253"/>
    <w:rsid w:val="0075346D"/>
    <w:rsid w:val="0076770F"/>
    <w:rsid w:val="007679ED"/>
    <w:rsid w:val="00772212"/>
    <w:rsid w:val="0078256B"/>
    <w:rsid w:val="007833B6"/>
    <w:rsid w:val="007A6149"/>
    <w:rsid w:val="007C470D"/>
    <w:rsid w:val="007C7ECB"/>
    <w:rsid w:val="007D32FA"/>
    <w:rsid w:val="007D46F2"/>
    <w:rsid w:val="007E6273"/>
    <w:rsid w:val="007E6602"/>
    <w:rsid w:val="007F0721"/>
    <w:rsid w:val="007F2FBA"/>
    <w:rsid w:val="007F3CBC"/>
    <w:rsid w:val="007F7DCA"/>
    <w:rsid w:val="00800902"/>
    <w:rsid w:val="00805C37"/>
    <w:rsid w:val="00806AA5"/>
    <w:rsid w:val="0081306E"/>
    <w:rsid w:val="00813C86"/>
    <w:rsid w:val="008162BB"/>
    <w:rsid w:val="008256FD"/>
    <w:rsid w:val="0082588B"/>
    <w:rsid w:val="008272EE"/>
    <w:rsid w:val="00832C23"/>
    <w:rsid w:val="008439ED"/>
    <w:rsid w:val="00851231"/>
    <w:rsid w:val="00874FD4"/>
    <w:rsid w:val="00877FE6"/>
    <w:rsid w:val="00882EB1"/>
    <w:rsid w:val="008842CF"/>
    <w:rsid w:val="00891108"/>
    <w:rsid w:val="008A0AAA"/>
    <w:rsid w:val="008A38F8"/>
    <w:rsid w:val="008A480B"/>
    <w:rsid w:val="008C1B5C"/>
    <w:rsid w:val="008C645A"/>
    <w:rsid w:val="008C7426"/>
    <w:rsid w:val="008D0590"/>
    <w:rsid w:val="008E019C"/>
    <w:rsid w:val="008E4BEA"/>
    <w:rsid w:val="008E5E34"/>
    <w:rsid w:val="008E728F"/>
    <w:rsid w:val="008F2C87"/>
    <w:rsid w:val="0090389F"/>
    <w:rsid w:val="009060C8"/>
    <w:rsid w:val="00912705"/>
    <w:rsid w:val="00915C6D"/>
    <w:rsid w:val="009166EB"/>
    <w:rsid w:val="00921C00"/>
    <w:rsid w:val="00942FA8"/>
    <w:rsid w:val="00944EB3"/>
    <w:rsid w:val="00950EBC"/>
    <w:rsid w:val="00952F17"/>
    <w:rsid w:val="00954099"/>
    <w:rsid w:val="009707EB"/>
    <w:rsid w:val="00972C48"/>
    <w:rsid w:val="00973C97"/>
    <w:rsid w:val="00981B50"/>
    <w:rsid w:val="009828D7"/>
    <w:rsid w:val="009870B3"/>
    <w:rsid w:val="00995048"/>
    <w:rsid w:val="00997B6A"/>
    <w:rsid w:val="009A0AEA"/>
    <w:rsid w:val="009B1266"/>
    <w:rsid w:val="009B15FD"/>
    <w:rsid w:val="009B7F1F"/>
    <w:rsid w:val="009E32F9"/>
    <w:rsid w:val="009E4C35"/>
    <w:rsid w:val="009E4D17"/>
    <w:rsid w:val="009E6154"/>
    <w:rsid w:val="009F133D"/>
    <w:rsid w:val="00A07697"/>
    <w:rsid w:val="00A07A30"/>
    <w:rsid w:val="00A10AB7"/>
    <w:rsid w:val="00A15350"/>
    <w:rsid w:val="00A15BF8"/>
    <w:rsid w:val="00A2048A"/>
    <w:rsid w:val="00A20DD4"/>
    <w:rsid w:val="00A3099C"/>
    <w:rsid w:val="00A33D3C"/>
    <w:rsid w:val="00A63596"/>
    <w:rsid w:val="00A65E09"/>
    <w:rsid w:val="00A702F0"/>
    <w:rsid w:val="00A743C7"/>
    <w:rsid w:val="00A74912"/>
    <w:rsid w:val="00A74DA1"/>
    <w:rsid w:val="00A8010E"/>
    <w:rsid w:val="00A80207"/>
    <w:rsid w:val="00A80A01"/>
    <w:rsid w:val="00A9240C"/>
    <w:rsid w:val="00A95009"/>
    <w:rsid w:val="00A95B87"/>
    <w:rsid w:val="00A978F3"/>
    <w:rsid w:val="00AA032F"/>
    <w:rsid w:val="00AA49C5"/>
    <w:rsid w:val="00AA4B08"/>
    <w:rsid w:val="00AB3241"/>
    <w:rsid w:val="00AB4E52"/>
    <w:rsid w:val="00AE6BFF"/>
    <w:rsid w:val="00AF535F"/>
    <w:rsid w:val="00B009A9"/>
    <w:rsid w:val="00B04C51"/>
    <w:rsid w:val="00B07E8C"/>
    <w:rsid w:val="00B2202D"/>
    <w:rsid w:val="00B26915"/>
    <w:rsid w:val="00B33FB6"/>
    <w:rsid w:val="00B41061"/>
    <w:rsid w:val="00B642D9"/>
    <w:rsid w:val="00B70E53"/>
    <w:rsid w:val="00B81E47"/>
    <w:rsid w:val="00B87C75"/>
    <w:rsid w:val="00BB0312"/>
    <w:rsid w:val="00BB0589"/>
    <w:rsid w:val="00BB2AA1"/>
    <w:rsid w:val="00BD25AC"/>
    <w:rsid w:val="00BD3D25"/>
    <w:rsid w:val="00BE68B1"/>
    <w:rsid w:val="00BF2230"/>
    <w:rsid w:val="00BF391F"/>
    <w:rsid w:val="00BF3B54"/>
    <w:rsid w:val="00BF4A57"/>
    <w:rsid w:val="00C16BC9"/>
    <w:rsid w:val="00C20AEB"/>
    <w:rsid w:val="00C32925"/>
    <w:rsid w:val="00C3368B"/>
    <w:rsid w:val="00C40AAE"/>
    <w:rsid w:val="00C44D16"/>
    <w:rsid w:val="00C466F1"/>
    <w:rsid w:val="00C536C1"/>
    <w:rsid w:val="00C73820"/>
    <w:rsid w:val="00C755F5"/>
    <w:rsid w:val="00C807C2"/>
    <w:rsid w:val="00C8157E"/>
    <w:rsid w:val="00C84F29"/>
    <w:rsid w:val="00C93BD6"/>
    <w:rsid w:val="00C93D9F"/>
    <w:rsid w:val="00C93DA4"/>
    <w:rsid w:val="00C95EDA"/>
    <w:rsid w:val="00C9644C"/>
    <w:rsid w:val="00CB1AD3"/>
    <w:rsid w:val="00CB1B07"/>
    <w:rsid w:val="00CB4845"/>
    <w:rsid w:val="00CB68CD"/>
    <w:rsid w:val="00CC48EB"/>
    <w:rsid w:val="00CC7378"/>
    <w:rsid w:val="00CD393B"/>
    <w:rsid w:val="00CD4F9B"/>
    <w:rsid w:val="00CD6E02"/>
    <w:rsid w:val="00CD7F57"/>
    <w:rsid w:val="00CF42D1"/>
    <w:rsid w:val="00CF6BE6"/>
    <w:rsid w:val="00D04408"/>
    <w:rsid w:val="00D17A4C"/>
    <w:rsid w:val="00D2771C"/>
    <w:rsid w:val="00D36416"/>
    <w:rsid w:val="00D537E3"/>
    <w:rsid w:val="00D54696"/>
    <w:rsid w:val="00D60DDA"/>
    <w:rsid w:val="00D64362"/>
    <w:rsid w:val="00D65432"/>
    <w:rsid w:val="00D670A9"/>
    <w:rsid w:val="00D711A8"/>
    <w:rsid w:val="00D7482B"/>
    <w:rsid w:val="00D87657"/>
    <w:rsid w:val="00DA755E"/>
    <w:rsid w:val="00DB05E7"/>
    <w:rsid w:val="00DB3DF5"/>
    <w:rsid w:val="00DB5F37"/>
    <w:rsid w:val="00DC206E"/>
    <w:rsid w:val="00DC709B"/>
    <w:rsid w:val="00DD18F9"/>
    <w:rsid w:val="00DD34DC"/>
    <w:rsid w:val="00DD5333"/>
    <w:rsid w:val="00DE243E"/>
    <w:rsid w:val="00DE3E32"/>
    <w:rsid w:val="00DE609F"/>
    <w:rsid w:val="00E0736E"/>
    <w:rsid w:val="00E32F00"/>
    <w:rsid w:val="00E4073E"/>
    <w:rsid w:val="00E5362B"/>
    <w:rsid w:val="00E5486D"/>
    <w:rsid w:val="00E562B5"/>
    <w:rsid w:val="00E5651A"/>
    <w:rsid w:val="00E71681"/>
    <w:rsid w:val="00E71814"/>
    <w:rsid w:val="00E75004"/>
    <w:rsid w:val="00E80D73"/>
    <w:rsid w:val="00E83CF2"/>
    <w:rsid w:val="00E95B24"/>
    <w:rsid w:val="00EB505C"/>
    <w:rsid w:val="00EB5B20"/>
    <w:rsid w:val="00EC00BB"/>
    <w:rsid w:val="00EC57D6"/>
    <w:rsid w:val="00ED009E"/>
    <w:rsid w:val="00EE0619"/>
    <w:rsid w:val="00EE2988"/>
    <w:rsid w:val="00EF2511"/>
    <w:rsid w:val="00F023A0"/>
    <w:rsid w:val="00F14EC7"/>
    <w:rsid w:val="00F15503"/>
    <w:rsid w:val="00F158AF"/>
    <w:rsid w:val="00F16FCE"/>
    <w:rsid w:val="00F204BD"/>
    <w:rsid w:val="00F23153"/>
    <w:rsid w:val="00F3378C"/>
    <w:rsid w:val="00F72921"/>
    <w:rsid w:val="00F74413"/>
    <w:rsid w:val="00F74FA4"/>
    <w:rsid w:val="00F86F34"/>
    <w:rsid w:val="00F9563A"/>
    <w:rsid w:val="00FA37EE"/>
    <w:rsid w:val="00FD0731"/>
    <w:rsid w:val="00FD0C75"/>
    <w:rsid w:val="00FE1A18"/>
    <w:rsid w:val="00FE4329"/>
    <w:rsid w:val="00FF0B3E"/>
    <w:rsid w:val="00FF7F3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B4670"/>
  <w15:docId w15:val="{B966E358-7275-483E-B5C3-A295F720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154"/>
    <w:pPr>
      <w:spacing w:after="200" w:line="276" w:lineRule="auto"/>
    </w:pPr>
    <w:rPr>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E0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619"/>
    <w:rPr>
      <w:rFonts w:ascii="Tahoma" w:hAnsi="Tahoma" w:cs="Tahoma"/>
      <w:sz w:val="16"/>
      <w:szCs w:val="16"/>
    </w:rPr>
  </w:style>
  <w:style w:type="table" w:styleId="TableGrid">
    <w:name w:val="Table Grid"/>
    <w:basedOn w:val="TableNormal"/>
    <w:uiPriority w:val="99"/>
    <w:rsid w:val="009E4C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E4C35"/>
    <w:pPr>
      <w:ind w:left="720"/>
      <w:contextualSpacing/>
    </w:pPr>
  </w:style>
  <w:style w:type="paragraph" w:customStyle="1" w:styleId="Default">
    <w:name w:val="Default"/>
    <w:rsid w:val="0078256B"/>
    <w:pPr>
      <w:autoSpaceDE w:val="0"/>
      <w:autoSpaceDN w:val="0"/>
      <w:adjustRightInd w:val="0"/>
    </w:pPr>
    <w:rPr>
      <w:rFonts w:ascii="EUAlbertina" w:hAnsi="EUAlbertina" w:cs="EUAlbertina"/>
      <w:color w:val="000000"/>
      <w:sz w:val="24"/>
      <w:szCs w:val="24"/>
    </w:rPr>
  </w:style>
  <w:style w:type="paragraph" w:styleId="Header">
    <w:name w:val="header"/>
    <w:basedOn w:val="Normal"/>
    <w:link w:val="HeaderChar"/>
    <w:uiPriority w:val="99"/>
    <w:rsid w:val="0078256B"/>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78256B"/>
    <w:rPr>
      <w:rFonts w:cs="Times New Roman"/>
      <w:lang w:eastAsia="en-US"/>
    </w:rPr>
  </w:style>
  <w:style w:type="paragraph" w:styleId="Footer">
    <w:name w:val="footer"/>
    <w:basedOn w:val="Normal"/>
    <w:link w:val="FooterChar"/>
    <w:uiPriority w:val="99"/>
    <w:rsid w:val="0078256B"/>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78256B"/>
    <w:rPr>
      <w:rFonts w:cs="Times New Roman"/>
      <w:lang w:eastAsia="en-US"/>
    </w:rPr>
  </w:style>
  <w:style w:type="paragraph" w:customStyle="1" w:styleId="Style9">
    <w:name w:val="Style 9"/>
    <w:uiPriority w:val="99"/>
    <w:rsid w:val="00BD3D25"/>
    <w:pPr>
      <w:widowControl w:val="0"/>
      <w:autoSpaceDE w:val="0"/>
      <w:autoSpaceDN w:val="0"/>
      <w:spacing w:before="216"/>
      <w:jc w:val="both"/>
    </w:pPr>
    <w:rPr>
      <w:rFonts w:ascii="Arial" w:hAnsi="Arial" w:cs="Arial"/>
      <w:sz w:val="18"/>
      <w:szCs w:val="18"/>
      <w:lang w:val="en-US"/>
    </w:rPr>
  </w:style>
  <w:style w:type="character" w:customStyle="1" w:styleId="CharacterStyle3">
    <w:name w:val="Character Style 3"/>
    <w:uiPriority w:val="99"/>
    <w:rsid w:val="00BD3D25"/>
    <w:rPr>
      <w:rFonts w:ascii="Arial" w:hAnsi="Arial"/>
      <w:sz w:val="18"/>
    </w:rPr>
  </w:style>
  <w:style w:type="character" w:customStyle="1" w:styleId="EmailStyle26">
    <w:name w:val="EmailStyle26"/>
    <w:basedOn w:val="DefaultParagraphFont"/>
    <w:uiPriority w:val="99"/>
    <w:semiHidden/>
    <w:rsid w:val="00F15503"/>
    <w:rPr>
      <w:rFonts w:ascii="Arial" w:hAnsi="Arial" w:cs="Arial"/>
      <w:color w:val="000080"/>
      <w:sz w:val="20"/>
      <w:szCs w:val="20"/>
    </w:rPr>
  </w:style>
  <w:style w:type="character" w:styleId="CommentReference">
    <w:name w:val="annotation reference"/>
    <w:basedOn w:val="DefaultParagraphFont"/>
    <w:uiPriority w:val="99"/>
    <w:semiHidden/>
    <w:unhideWhenUsed/>
    <w:rsid w:val="00423D46"/>
    <w:rPr>
      <w:sz w:val="16"/>
      <w:szCs w:val="16"/>
    </w:rPr>
  </w:style>
  <w:style w:type="paragraph" w:styleId="CommentText">
    <w:name w:val="annotation text"/>
    <w:basedOn w:val="Normal"/>
    <w:link w:val="CommentTextChar"/>
    <w:uiPriority w:val="99"/>
    <w:unhideWhenUsed/>
    <w:rsid w:val="00423D46"/>
    <w:pPr>
      <w:spacing w:line="240" w:lineRule="auto"/>
    </w:pPr>
    <w:rPr>
      <w:sz w:val="20"/>
      <w:szCs w:val="20"/>
    </w:rPr>
  </w:style>
  <w:style w:type="character" w:customStyle="1" w:styleId="CommentTextChar">
    <w:name w:val="Comment Text Char"/>
    <w:basedOn w:val="DefaultParagraphFont"/>
    <w:link w:val="CommentText"/>
    <w:uiPriority w:val="99"/>
    <w:rsid w:val="00423D46"/>
    <w:rPr>
      <w:sz w:val="20"/>
      <w:szCs w:val="20"/>
      <w:lang w:eastAsia="en-US"/>
    </w:rPr>
  </w:style>
  <w:style w:type="paragraph" w:styleId="CommentSubject">
    <w:name w:val="annotation subject"/>
    <w:basedOn w:val="CommentText"/>
    <w:next w:val="CommentText"/>
    <w:link w:val="CommentSubjectChar"/>
    <w:uiPriority w:val="99"/>
    <w:semiHidden/>
    <w:unhideWhenUsed/>
    <w:rsid w:val="00423D46"/>
    <w:rPr>
      <w:b/>
      <w:bCs/>
    </w:rPr>
  </w:style>
  <w:style w:type="character" w:customStyle="1" w:styleId="CommentSubjectChar">
    <w:name w:val="Comment Subject Char"/>
    <w:basedOn w:val="CommentTextChar"/>
    <w:link w:val="CommentSubject"/>
    <w:uiPriority w:val="99"/>
    <w:semiHidden/>
    <w:rsid w:val="00423D46"/>
    <w:rPr>
      <w:b/>
      <w:bCs/>
      <w:sz w:val="20"/>
      <w:szCs w:val="20"/>
      <w:lang w:eastAsia="en-US"/>
    </w:rPr>
  </w:style>
  <w:style w:type="paragraph" w:styleId="FootnoteText">
    <w:name w:val="footnote text"/>
    <w:basedOn w:val="Normal"/>
    <w:link w:val="FootnoteTextChar"/>
    <w:semiHidden/>
    <w:rsid w:val="00A63596"/>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A63596"/>
    <w:rPr>
      <w:rFonts w:ascii="Times New Roman" w:eastAsia="Times New Roman" w:hAnsi="Times New Roman"/>
      <w:sz w:val="20"/>
      <w:szCs w:val="20"/>
      <w:lang w:val="en-US" w:eastAsia="en-US"/>
    </w:rPr>
  </w:style>
  <w:style w:type="character" w:styleId="FootnoteReference">
    <w:name w:val="footnote reference"/>
    <w:semiHidden/>
    <w:rsid w:val="00A63596"/>
    <w:rPr>
      <w:vertAlign w:val="superscript"/>
    </w:rPr>
  </w:style>
  <w:style w:type="character" w:styleId="Hyperlink">
    <w:name w:val="Hyperlink"/>
    <w:basedOn w:val="DefaultParagraphFont"/>
    <w:uiPriority w:val="99"/>
    <w:unhideWhenUsed/>
    <w:rsid w:val="009707EB"/>
    <w:rPr>
      <w:color w:val="0000FF" w:themeColor="hyperlink"/>
      <w:u w:val="single"/>
    </w:rPr>
  </w:style>
  <w:style w:type="paragraph" w:customStyle="1" w:styleId="ACPIBulletPoint">
    <w:name w:val="ACPI_BulletPoint"/>
    <w:basedOn w:val="ListParagraph"/>
    <w:link w:val="ACPIBulletPointChar"/>
    <w:rsid w:val="008A0AAA"/>
    <w:pPr>
      <w:numPr>
        <w:numId w:val="15"/>
      </w:numPr>
      <w:spacing w:after="120" w:line="240" w:lineRule="auto"/>
      <w:ind w:left="357" w:hanging="357"/>
      <w:contextualSpacing w:val="0"/>
    </w:pPr>
    <w:rPr>
      <w:rFonts w:ascii="Arial" w:eastAsia="Times New Roman" w:hAnsi="Arial"/>
      <w:color w:val="364246"/>
      <w:sz w:val="18"/>
      <w:szCs w:val="20"/>
      <w:lang w:val="en-GB" w:eastAsia="en-GB"/>
    </w:rPr>
  </w:style>
  <w:style w:type="character" w:customStyle="1" w:styleId="ACPIBulletPointChar">
    <w:name w:val="ACPI_BulletPoint Char"/>
    <w:link w:val="ACPIBulletPoint"/>
    <w:rsid w:val="008A0AAA"/>
    <w:rPr>
      <w:rFonts w:ascii="Arial" w:eastAsia="Times New Roman" w:hAnsi="Arial"/>
      <w:color w:val="364246"/>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185204">
      <w:bodyDiv w:val="1"/>
      <w:marLeft w:val="0"/>
      <w:marRight w:val="0"/>
      <w:marTop w:val="0"/>
      <w:marBottom w:val="0"/>
      <w:divBdr>
        <w:top w:val="none" w:sz="0" w:space="0" w:color="auto"/>
        <w:left w:val="none" w:sz="0" w:space="0" w:color="auto"/>
        <w:bottom w:val="none" w:sz="0" w:space="0" w:color="auto"/>
        <w:right w:val="none" w:sz="0" w:space="0" w:color="auto"/>
      </w:divBdr>
    </w:div>
    <w:div w:id="1760366433">
      <w:bodyDiv w:val="1"/>
      <w:marLeft w:val="0"/>
      <w:marRight w:val="0"/>
      <w:marTop w:val="0"/>
      <w:marBottom w:val="0"/>
      <w:divBdr>
        <w:top w:val="none" w:sz="0" w:space="0" w:color="auto"/>
        <w:left w:val="none" w:sz="0" w:space="0" w:color="auto"/>
        <w:bottom w:val="none" w:sz="0" w:space="0" w:color="auto"/>
        <w:right w:val="none" w:sz="0" w:space="0" w:color="auto"/>
      </w:divBdr>
    </w:div>
    <w:div w:id="19503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1442</Words>
  <Characters>8226</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KEY INVESTOR INFORMATION DOCUMENT</vt:lpstr>
      <vt:lpstr>KEY INVESTOR INFORMATION DOCUMENT</vt:lpstr>
    </vt:vector>
  </TitlesOfParts>
  <Company>Hewlett-Packard Company</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INVESTOR INFORMATION DOCUMENT</dc:title>
  <dc:creator>Daniel Alonso</dc:creator>
  <cp:lastModifiedBy>Hannah Fenlon</cp:lastModifiedBy>
  <cp:revision>3</cp:revision>
  <cp:lastPrinted>2019-02-15T09:46:00Z</cp:lastPrinted>
  <dcterms:created xsi:type="dcterms:W3CDTF">2020-11-19T18:25:00Z</dcterms:created>
  <dcterms:modified xsi:type="dcterms:W3CDTF">2020-11-19T18:26:00Z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/8574903v1</vt:lpwstr>
  </property>
</Properties>
</file>