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CBC0"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The tota</w:t>
      </w:r>
      <w:r w:rsidR="0079070D" w:rsidRPr="001A14D2">
        <w:rPr>
          <w:rFonts w:asciiTheme="minorHAnsi" w:eastAsiaTheme="minorHAnsi" w:hAnsiTheme="minorHAnsi" w:cs="Times New Roman"/>
          <w:sz w:val="24"/>
          <w:szCs w:val="24"/>
        </w:rPr>
        <w:t>l capital in an investment fund</w:t>
      </w:r>
      <w:r w:rsidRPr="001A14D2">
        <w:rPr>
          <w:rFonts w:asciiTheme="minorHAnsi" w:eastAsiaTheme="minorHAnsi" w:hAnsiTheme="minorHAnsi" w:cs="Times New Roman"/>
          <w:sz w:val="24"/>
          <w:szCs w:val="24"/>
        </w:rPr>
        <w:t xml:space="preserve">, whatever its investment policy is subject to fluctuations the markets which may be obtained either positive </w:t>
      </w:r>
      <w:proofErr w:type="gramStart"/>
      <w:r w:rsidRPr="001A14D2">
        <w:rPr>
          <w:rFonts w:asciiTheme="minorHAnsi" w:eastAsiaTheme="minorHAnsi" w:hAnsiTheme="minorHAnsi" w:cs="Times New Roman"/>
          <w:sz w:val="24"/>
          <w:szCs w:val="24"/>
        </w:rPr>
        <w:t>returns</w:t>
      </w:r>
      <w:proofErr w:type="gramEnd"/>
      <w:r w:rsidRPr="001A14D2">
        <w:rPr>
          <w:rFonts w:asciiTheme="minorHAnsi" w:eastAsiaTheme="minorHAnsi" w:hAnsiTheme="minorHAnsi" w:cs="Times New Roman"/>
          <w:sz w:val="24"/>
          <w:szCs w:val="24"/>
        </w:rPr>
        <w:t xml:space="preserve"> as losses.</w:t>
      </w:r>
    </w:p>
    <w:p w14:paraId="797B481B" w14:textId="77777777" w:rsidR="0065597B" w:rsidRPr="001A14D2" w:rsidRDefault="0065597B" w:rsidP="0065597B">
      <w:pPr>
        <w:pStyle w:val="HTMLPreformatted"/>
        <w:jc w:val="both"/>
        <w:rPr>
          <w:rFonts w:asciiTheme="minorHAnsi" w:eastAsiaTheme="minorHAnsi" w:hAnsiTheme="minorHAnsi" w:cs="Times New Roman"/>
          <w:sz w:val="24"/>
          <w:szCs w:val="24"/>
        </w:rPr>
      </w:pPr>
    </w:p>
    <w:p w14:paraId="098A3F54"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The do</w:t>
      </w:r>
      <w:r w:rsidR="0079070D" w:rsidRPr="001A14D2">
        <w:rPr>
          <w:rFonts w:asciiTheme="minorHAnsi" w:eastAsiaTheme="minorHAnsi" w:hAnsiTheme="minorHAnsi" w:cs="Times New Roman"/>
          <w:sz w:val="24"/>
          <w:szCs w:val="24"/>
        </w:rPr>
        <w:t>cument key investor information</w:t>
      </w:r>
      <w:r w:rsidRPr="001A14D2">
        <w:rPr>
          <w:rFonts w:asciiTheme="minorHAnsi" w:eastAsiaTheme="minorHAnsi" w:hAnsiTheme="minorHAnsi" w:cs="Times New Roman"/>
          <w:sz w:val="24"/>
          <w:szCs w:val="24"/>
        </w:rPr>
        <w:t xml:space="preserve">, or, where </w:t>
      </w:r>
      <w:proofErr w:type="gramStart"/>
      <w:r w:rsidRPr="001A14D2">
        <w:rPr>
          <w:rFonts w:asciiTheme="minorHAnsi" w:eastAsiaTheme="minorHAnsi" w:hAnsiTheme="minorHAnsi" w:cs="Times New Roman"/>
          <w:sz w:val="24"/>
          <w:szCs w:val="24"/>
        </w:rPr>
        <w:t>appropriate ,</w:t>
      </w:r>
      <w:proofErr w:type="gramEnd"/>
      <w:r w:rsidRPr="001A14D2">
        <w:rPr>
          <w:rFonts w:asciiTheme="minorHAnsi" w:eastAsiaTheme="minorHAnsi" w:hAnsiTheme="minorHAnsi" w:cs="Times New Roman"/>
          <w:sz w:val="24"/>
          <w:szCs w:val="24"/>
        </w:rPr>
        <w:t xml:space="preserve"> the simplified prospectus must be delivered , after holding the contract, the latest semi-annual report released . The booklet contains the Management Regulatio</w:t>
      </w:r>
      <w:r w:rsidR="0079070D" w:rsidRPr="001A14D2">
        <w:rPr>
          <w:rFonts w:asciiTheme="minorHAnsi" w:eastAsiaTheme="minorHAnsi" w:hAnsiTheme="minorHAnsi" w:cs="Times New Roman"/>
          <w:sz w:val="24"/>
          <w:szCs w:val="24"/>
        </w:rPr>
        <w:t>ns</w:t>
      </w:r>
      <w:r w:rsidRPr="001A14D2">
        <w:rPr>
          <w:rFonts w:asciiTheme="minorHAnsi" w:eastAsiaTheme="minorHAnsi" w:hAnsiTheme="minorHAnsi" w:cs="Times New Roman"/>
          <w:sz w:val="24"/>
          <w:szCs w:val="24"/>
        </w:rPr>
        <w:t>. All these documents , with recent quarterly and annual reports , are available free and be consulted by electronic means at the Management Company or the trading companies , as well as in the registers of the CNMV. For further clarification please contact these entities.</w:t>
      </w:r>
    </w:p>
    <w:p w14:paraId="17AC3563" w14:textId="77777777" w:rsidR="0065597B" w:rsidRPr="001A14D2" w:rsidRDefault="0065597B" w:rsidP="00AE2EB8">
      <w:pPr>
        <w:pStyle w:val="HTMLPreformatted"/>
        <w:jc w:val="both"/>
        <w:rPr>
          <w:rFonts w:asciiTheme="minorHAnsi" w:eastAsiaTheme="minorHAnsi" w:hAnsiTheme="minorHAnsi" w:cs="Times New Roman"/>
          <w:sz w:val="24"/>
          <w:szCs w:val="24"/>
        </w:rPr>
      </w:pPr>
    </w:p>
    <w:p w14:paraId="4488CF76" w14:textId="77777777" w:rsidR="0065597B" w:rsidRPr="001A14D2" w:rsidRDefault="0065597B" w:rsidP="0065597B">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GENERAL FUND</w:t>
      </w:r>
    </w:p>
    <w:p w14:paraId="4F8BBA0F"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 xml:space="preserve">Date Fund was </w:t>
      </w:r>
      <w:proofErr w:type="gramStart"/>
      <w:r w:rsidRPr="001A14D2">
        <w:rPr>
          <w:rFonts w:asciiTheme="minorHAnsi" w:eastAsiaTheme="minorHAnsi" w:hAnsiTheme="minorHAnsi" w:cs="Times New Roman"/>
          <w:sz w:val="24"/>
          <w:szCs w:val="24"/>
          <w:u w:val="single"/>
        </w:rPr>
        <w:t xml:space="preserve">constituted </w:t>
      </w:r>
      <w:r w:rsidRPr="001A14D2">
        <w:rPr>
          <w:rFonts w:asciiTheme="minorHAnsi" w:eastAsiaTheme="minorHAnsi" w:hAnsiTheme="minorHAnsi" w:cs="Times New Roman"/>
          <w:sz w:val="24"/>
          <w:szCs w:val="24"/>
        </w:rPr>
        <w:t>:</w:t>
      </w:r>
      <w:proofErr w:type="gramEnd"/>
      <w:r w:rsidRPr="001A14D2">
        <w:rPr>
          <w:rFonts w:asciiTheme="minorHAnsi" w:eastAsiaTheme="minorHAnsi" w:hAnsiTheme="minorHAnsi" w:cs="Times New Roman"/>
          <w:sz w:val="24"/>
          <w:szCs w:val="24"/>
        </w:rPr>
        <w:t xml:space="preserve"> 17/07/2014 </w:t>
      </w:r>
    </w:p>
    <w:p w14:paraId="3E6DA345"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Registration date at the CNMV</w:t>
      </w:r>
      <w:r w:rsidRPr="001A14D2">
        <w:rPr>
          <w:rFonts w:asciiTheme="minorHAnsi" w:eastAsiaTheme="minorHAnsi" w:hAnsiTheme="minorHAnsi" w:cs="Times New Roman"/>
          <w:sz w:val="24"/>
          <w:szCs w:val="24"/>
        </w:rPr>
        <w:t>: 7/31/2014</w:t>
      </w:r>
    </w:p>
    <w:p w14:paraId="0F1D7565" w14:textId="77777777" w:rsidR="0065597B" w:rsidRPr="001A14D2" w:rsidRDefault="0065597B" w:rsidP="0065597B">
      <w:pPr>
        <w:pStyle w:val="HTMLPreformatted"/>
        <w:jc w:val="both"/>
        <w:rPr>
          <w:rFonts w:asciiTheme="minorHAnsi" w:eastAsiaTheme="minorHAnsi" w:hAnsiTheme="minorHAnsi" w:cs="Times New Roman"/>
          <w:sz w:val="24"/>
          <w:szCs w:val="24"/>
        </w:rPr>
      </w:pPr>
      <w:proofErr w:type="gramStart"/>
      <w:r w:rsidRPr="001A14D2">
        <w:rPr>
          <w:rFonts w:asciiTheme="minorHAnsi" w:eastAsiaTheme="minorHAnsi" w:hAnsiTheme="minorHAnsi" w:cs="Times New Roman"/>
          <w:sz w:val="24"/>
          <w:szCs w:val="24"/>
          <w:u w:val="single"/>
        </w:rPr>
        <w:t xml:space="preserve">Manager </w:t>
      </w:r>
      <w:r w:rsidRPr="001A14D2">
        <w:rPr>
          <w:rFonts w:asciiTheme="minorHAnsi" w:eastAsiaTheme="minorHAnsi" w:hAnsiTheme="minorHAnsi" w:cs="Times New Roman"/>
          <w:sz w:val="24"/>
          <w:szCs w:val="24"/>
        </w:rPr>
        <w:t>:</w:t>
      </w:r>
      <w:proofErr w:type="gramEnd"/>
      <w:r w:rsidRPr="001A14D2">
        <w:rPr>
          <w:rFonts w:asciiTheme="minorHAnsi" w:eastAsiaTheme="minorHAnsi" w:hAnsiTheme="minorHAnsi" w:cs="Times New Roman"/>
          <w:sz w:val="24"/>
          <w:szCs w:val="24"/>
        </w:rPr>
        <w:t xml:space="preserve"> NOVO BANCO MANAGEMENT , SGIIC , S.A. </w:t>
      </w:r>
    </w:p>
    <w:p w14:paraId="782D69AC"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Management Group</w:t>
      </w:r>
      <w:r w:rsidRPr="001A14D2">
        <w:rPr>
          <w:rFonts w:asciiTheme="minorHAnsi" w:eastAsiaTheme="minorHAnsi" w:hAnsiTheme="minorHAnsi" w:cs="Times New Roman"/>
          <w:sz w:val="24"/>
          <w:szCs w:val="24"/>
        </w:rPr>
        <w:t>: NOVO BANCO</w:t>
      </w:r>
    </w:p>
    <w:p w14:paraId="013BDE5B"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 xml:space="preserve">Sub- </w:t>
      </w:r>
      <w:r w:rsidRPr="001A14D2">
        <w:rPr>
          <w:rFonts w:asciiTheme="minorHAnsi" w:eastAsiaTheme="minorHAnsi" w:hAnsiTheme="minorHAnsi" w:cs="Times New Roman"/>
          <w:sz w:val="24"/>
          <w:szCs w:val="24"/>
        </w:rPr>
        <w:t>: FCS ASSET MANAGEMENT LIMITED</w:t>
      </w:r>
    </w:p>
    <w:p w14:paraId="70CDE7B4" w14:textId="77777777" w:rsidR="0065597B" w:rsidRPr="001A14D2" w:rsidRDefault="0065597B" w:rsidP="0065597B">
      <w:pPr>
        <w:pStyle w:val="HTMLPreformatted"/>
        <w:jc w:val="both"/>
        <w:rPr>
          <w:rFonts w:asciiTheme="minorHAnsi" w:eastAsiaTheme="minorHAnsi" w:hAnsiTheme="minorHAnsi" w:cs="Times New Roman"/>
          <w:sz w:val="24"/>
          <w:szCs w:val="24"/>
        </w:rPr>
      </w:pPr>
      <w:proofErr w:type="gramStart"/>
      <w:r w:rsidRPr="001A14D2">
        <w:rPr>
          <w:rFonts w:asciiTheme="minorHAnsi" w:eastAsiaTheme="minorHAnsi" w:hAnsiTheme="minorHAnsi" w:cs="Times New Roman"/>
          <w:sz w:val="24"/>
          <w:szCs w:val="24"/>
          <w:u w:val="single"/>
        </w:rPr>
        <w:t xml:space="preserve">Depositary </w:t>
      </w:r>
      <w:r w:rsidRPr="001A14D2">
        <w:rPr>
          <w:rFonts w:asciiTheme="minorHAnsi" w:eastAsiaTheme="minorHAnsi" w:hAnsiTheme="minorHAnsi" w:cs="Times New Roman"/>
          <w:sz w:val="24"/>
          <w:szCs w:val="24"/>
        </w:rPr>
        <w:t>:</w:t>
      </w:r>
      <w:proofErr w:type="gramEnd"/>
      <w:r w:rsidRPr="001A14D2">
        <w:rPr>
          <w:rFonts w:asciiTheme="minorHAnsi" w:eastAsiaTheme="minorHAnsi" w:hAnsiTheme="minorHAnsi" w:cs="Times New Roman"/>
          <w:sz w:val="24"/>
          <w:szCs w:val="24"/>
        </w:rPr>
        <w:t xml:space="preserve"> NOVO BANCO , S.A. , BRANCH IN SPAIN </w:t>
      </w:r>
    </w:p>
    <w:p w14:paraId="263EC966"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 xml:space="preserve">Depository </w:t>
      </w:r>
      <w:proofErr w:type="gramStart"/>
      <w:r w:rsidRPr="001A14D2">
        <w:rPr>
          <w:rFonts w:asciiTheme="minorHAnsi" w:eastAsiaTheme="minorHAnsi" w:hAnsiTheme="minorHAnsi" w:cs="Times New Roman"/>
          <w:sz w:val="24"/>
          <w:szCs w:val="24"/>
          <w:u w:val="single"/>
        </w:rPr>
        <w:t xml:space="preserve">Group </w:t>
      </w:r>
      <w:r w:rsidRPr="001A14D2">
        <w:rPr>
          <w:rFonts w:asciiTheme="minorHAnsi" w:eastAsiaTheme="minorHAnsi" w:hAnsiTheme="minorHAnsi" w:cs="Times New Roman"/>
          <w:sz w:val="24"/>
          <w:szCs w:val="24"/>
        </w:rPr>
        <w:t>:</w:t>
      </w:r>
      <w:proofErr w:type="gramEnd"/>
      <w:r w:rsidRPr="001A14D2">
        <w:rPr>
          <w:rFonts w:asciiTheme="minorHAnsi" w:eastAsiaTheme="minorHAnsi" w:hAnsiTheme="minorHAnsi" w:cs="Times New Roman"/>
          <w:sz w:val="24"/>
          <w:szCs w:val="24"/>
        </w:rPr>
        <w:t xml:space="preserve"> NOVO BANCO</w:t>
      </w:r>
    </w:p>
    <w:p w14:paraId="51C10760" w14:textId="77777777" w:rsidR="0065597B" w:rsidRPr="001A14D2" w:rsidRDefault="0065597B" w:rsidP="0065597B">
      <w:pPr>
        <w:pStyle w:val="HTMLPreformatted"/>
        <w:jc w:val="both"/>
        <w:rPr>
          <w:rFonts w:asciiTheme="minorHAnsi" w:eastAsiaTheme="minorHAnsi" w:hAnsiTheme="minorHAnsi" w:cs="Times New Roman"/>
          <w:sz w:val="24"/>
          <w:szCs w:val="24"/>
        </w:rPr>
      </w:pPr>
      <w:proofErr w:type="gramStart"/>
      <w:r w:rsidRPr="001A14D2">
        <w:rPr>
          <w:rFonts w:asciiTheme="minorHAnsi" w:eastAsiaTheme="minorHAnsi" w:hAnsiTheme="minorHAnsi" w:cs="Times New Roman"/>
          <w:sz w:val="24"/>
          <w:szCs w:val="24"/>
          <w:u w:val="single"/>
        </w:rPr>
        <w:t xml:space="preserve">Auditor </w:t>
      </w:r>
      <w:r w:rsidRPr="001A14D2">
        <w:rPr>
          <w:rFonts w:asciiTheme="minorHAnsi" w:eastAsiaTheme="minorHAnsi" w:hAnsiTheme="minorHAnsi" w:cs="Times New Roman"/>
          <w:sz w:val="24"/>
          <w:szCs w:val="24"/>
        </w:rPr>
        <w:t>:</w:t>
      </w:r>
      <w:proofErr w:type="gramEnd"/>
      <w:r w:rsidRPr="001A14D2">
        <w:rPr>
          <w:rFonts w:asciiTheme="minorHAnsi" w:eastAsiaTheme="minorHAnsi" w:hAnsiTheme="minorHAnsi" w:cs="Times New Roman"/>
          <w:sz w:val="24"/>
          <w:szCs w:val="24"/>
        </w:rPr>
        <w:t xml:space="preserve"> PricewaterhouseCoopers Auditors , SL</w:t>
      </w:r>
    </w:p>
    <w:p w14:paraId="7544C5FD" w14:textId="77777777" w:rsidR="0065597B" w:rsidRPr="001A14D2" w:rsidRDefault="0065597B" w:rsidP="0065597B">
      <w:pPr>
        <w:pStyle w:val="HTMLPreformatted"/>
        <w:jc w:val="both"/>
        <w:rPr>
          <w:rFonts w:asciiTheme="minorHAnsi" w:eastAsiaTheme="minorHAnsi" w:hAnsiTheme="minorHAnsi" w:cs="Times New Roman"/>
          <w:sz w:val="24"/>
          <w:szCs w:val="24"/>
        </w:rPr>
      </w:pPr>
    </w:p>
    <w:p w14:paraId="6A6C6C20" w14:textId="77777777" w:rsidR="0065597B" w:rsidRPr="001A14D2" w:rsidRDefault="0065597B" w:rsidP="0065597B">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INVESTMENT POLICY</w:t>
      </w:r>
    </w:p>
    <w:p w14:paraId="5C7CF325"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Risk profile of the fund and the investor</w:t>
      </w:r>
      <w:r w:rsidRPr="001A14D2">
        <w:rPr>
          <w:rFonts w:asciiTheme="minorHAnsi" w:eastAsiaTheme="minorHAnsi" w:hAnsiTheme="minorHAnsi" w:cs="Times New Roman"/>
          <w:sz w:val="24"/>
          <w:szCs w:val="24"/>
        </w:rPr>
        <w:t>: 4, on a scale from 1 to 7.</w:t>
      </w:r>
    </w:p>
    <w:p w14:paraId="4088C562"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Category:</w:t>
      </w:r>
      <w:r w:rsidRPr="001A14D2">
        <w:rPr>
          <w:rFonts w:asciiTheme="minorHAnsi" w:eastAsiaTheme="minorHAnsi" w:hAnsiTheme="minorHAnsi" w:cs="Times New Roman"/>
          <w:sz w:val="24"/>
          <w:szCs w:val="24"/>
        </w:rPr>
        <w:t xml:space="preserve"> Investment. </w:t>
      </w:r>
      <w:proofErr w:type="gramStart"/>
      <w:r w:rsidRPr="001A14D2">
        <w:rPr>
          <w:rFonts w:asciiTheme="minorHAnsi" w:eastAsiaTheme="minorHAnsi" w:hAnsiTheme="minorHAnsi" w:cs="Times New Roman"/>
          <w:sz w:val="24"/>
          <w:szCs w:val="24"/>
        </w:rPr>
        <w:t>GLOBAL.</w:t>
      </w:r>
      <w:proofErr w:type="gramEnd"/>
    </w:p>
    <w:p w14:paraId="5A090C81"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Indicative of the investment term:</w:t>
      </w:r>
      <w:r w:rsidRPr="001A14D2">
        <w:rPr>
          <w:rFonts w:asciiTheme="minorHAnsi" w:eastAsiaTheme="minorHAnsi" w:hAnsiTheme="minorHAnsi" w:cs="Times New Roman"/>
          <w:sz w:val="24"/>
          <w:szCs w:val="24"/>
        </w:rPr>
        <w:t xml:space="preserve"> This Fund may not be appropriate for investors who plan to withdraw their money within </w:t>
      </w:r>
      <w:proofErr w:type="gramStart"/>
      <w:r w:rsidRPr="001A14D2">
        <w:rPr>
          <w:rFonts w:asciiTheme="minorHAnsi" w:eastAsiaTheme="minorHAnsi" w:hAnsiTheme="minorHAnsi" w:cs="Times New Roman"/>
          <w:sz w:val="24"/>
          <w:szCs w:val="24"/>
        </w:rPr>
        <w:t>less</w:t>
      </w:r>
      <w:proofErr w:type="gramEnd"/>
      <w:r w:rsidRPr="001A14D2">
        <w:rPr>
          <w:rFonts w:asciiTheme="minorHAnsi" w:eastAsiaTheme="minorHAnsi" w:hAnsiTheme="minorHAnsi" w:cs="Times New Roman"/>
          <w:sz w:val="24"/>
          <w:szCs w:val="24"/>
        </w:rPr>
        <w:t xml:space="preserve"> 5 years.</w:t>
      </w:r>
    </w:p>
    <w:p w14:paraId="28318AC7" w14:textId="77777777" w:rsidR="0065597B" w:rsidRPr="001A14D2" w:rsidRDefault="0065597B" w:rsidP="0065597B">
      <w:pPr>
        <w:pStyle w:val="HTMLPreformatted"/>
        <w:jc w:val="both"/>
        <w:rPr>
          <w:rFonts w:asciiTheme="minorHAnsi" w:eastAsiaTheme="minorHAnsi" w:hAnsiTheme="minorHAnsi" w:cs="Times New Roman"/>
          <w:sz w:val="24"/>
          <w:szCs w:val="24"/>
        </w:rPr>
      </w:pPr>
    </w:p>
    <w:p w14:paraId="0FA5CCF0"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Management objective, investment policy and risks</w:t>
      </w:r>
      <w:r w:rsidR="00517DC2" w:rsidRPr="001A14D2">
        <w:rPr>
          <w:rFonts w:asciiTheme="minorHAnsi" w:eastAsiaTheme="minorHAnsi" w:hAnsiTheme="minorHAnsi" w:cs="Times New Roman"/>
          <w:sz w:val="24"/>
          <w:szCs w:val="24"/>
        </w:rPr>
        <w:t xml:space="preserve">: </w:t>
      </w:r>
      <w:r w:rsidRPr="001A14D2">
        <w:rPr>
          <w:rFonts w:asciiTheme="minorHAnsi" w:eastAsiaTheme="minorHAnsi" w:hAnsiTheme="minorHAnsi" w:cs="Times New Roman"/>
          <w:sz w:val="24"/>
          <w:szCs w:val="24"/>
        </w:rPr>
        <w:t xml:space="preserve">It may invest in diversified manner directly or indirectly via CII, in equities and bonds without any preset percentage asset. In fixed income </w:t>
      </w:r>
      <w:proofErr w:type="gramStart"/>
      <w:r w:rsidRPr="001A14D2">
        <w:rPr>
          <w:rFonts w:asciiTheme="minorHAnsi" w:eastAsiaTheme="minorHAnsi" w:hAnsiTheme="minorHAnsi" w:cs="Times New Roman"/>
          <w:sz w:val="24"/>
          <w:szCs w:val="24"/>
        </w:rPr>
        <w:t>assets</w:t>
      </w:r>
      <w:proofErr w:type="gramEnd"/>
      <w:r w:rsidRPr="001A14D2">
        <w:rPr>
          <w:rFonts w:asciiTheme="minorHAnsi" w:eastAsiaTheme="minorHAnsi" w:hAnsiTheme="minorHAnsi" w:cs="Times New Roman"/>
          <w:sz w:val="24"/>
          <w:szCs w:val="24"/>
        </w:rPr>
        <w:t xml:space="preserve"> may be invested in public and / or private (including deposits and money market instruments listed or not, which are liquid), not limited by credit quality, which can be up to 100% in low-quality assets even without rating. The average duration of the portfolio will be between 1-6 years, except in exceptional market circumstances. Equity is not predetermined sector or capitalization.</w:t>
      </w:r>
    </w:p>
    <w:p w14:paraId="66B3C217"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It may invest up to 50% of total exposure, through financial instruments, stock dividends or stock indices OECD credit risk of go</w:t>
      </w:r>
      <w:r w:rsidR="007A4BC5" w:rsidRPr="001A14D2">
        <w:rPr>
          <w:rFonts w:asciiTheme="minorHAnsi" w:eastAsiaTheme="minorHAnsi" w:hAnsiTheme="minorHAnsi" w:cs="Times New Roman"/>
          <w:sz w:val="24"/>
          <w:szCs w:val="24"/>
        </w:rPr>
        <w:t>vernment and private issuers OC</w:t>
      </w:r>
      <w:r w:rsidRPr="001A14D2">
        <w:rPr>
          <w:rFonts w:asciiTheme="minorHAnsi" w:eastAsiaTheme="minorHAnsi" w:hAnsiTheme="minorHAnsi" w:cs="Times New Roman"/>
          <w:sz w:val="24"/>
          <w:szCs w:val="24"/>
        </w:rPr>
        <w:t>D</w:t>
      </w:r>
      <w:r w:rsidR="007A4BC5" w:rsidRPr="001A14D2">
        <w:rPr>
          <w:rFonts w:asciiTheme="minorHAnsi" w:eastAsiaTheme="minorHAnsi" w:hAnsiTheme="minorHAnsi" w:cs="Times New Roman"/>
          <w:sz w:val="24"/>
          <w:szCs w:val="24"/>
        </w:rPr>
        <w:t>E</w:t>
      </w:r>
      <w:r w:rsidRPr="001A14D2">
        <w:rPr>
          <w:rFonts w:asciiTheme="minorHAnsi" w:eastAsiaTheme="minorHAnsi" w:hAnsiTheme="minorHAnsi" w:cs="Times New Roman"/>
          <w:sz w:val="24"/>
          <w:szCs w:val="24"/>
        </w:rPr>
        <w:t xml:space="preserve">, volatility and variance of equity indices and inflation </w:t>
      </w:r>
      <w:r w:rsidR="007A4BC5" w:rsidRPr="001A14D2">
        <w:rPr>
          <w:rFonts w:asciiTheme="minorHAnsi" w:eastAsiaTheme="minorHAnsi" w:hAnsiTheme="minorHAnsi" w:cs="Times New Roman"/>
          <w:sz w:val="24"/>
          <w:szCs w:val="24"/>
        </w:rPr>
        <w:t xml:space="preserve">OCDE </w:t>
      </w:r>
      <w:proofErr w:type="spellStart"/>
      <w:r w:rsidR="007A4BC5" w:rsidRPr="001A14D2">
        <w:rPr>
          <w:rFonts w:asciiTheme="minorHAnsi" w:eastAsiaTheme="minorHAnsi" w:hAnsiTheme="minorHAnsi" w:cs="Times New Roman"/>
          <w:sz w:val="24"/>
          <w:szCs w:val="24"/>
        </w:rPr>
        <w:t>OCDE</w:t>
      </w:r>
      <w:proofErr w:type="spellEnd"/>
      <w:r w:rsidR="007A4BC5" w:rsidRPr="001A14D2">
        <w:rPr>
          <w:rFonts w:asciiTheme="minorHAnsi" w:eastAsiaTheme="minorHAnsi" w:hAnsiTheme="minorHAnsi" w:cs="Times New Roman"/>
          <w:sz w:val="24"/>
          <w:szCs w:val="24"/>
        </w:rPr>
        <w:t xml:space="preserve"> </w:t>
      </w:r>
      <w:r w:rsidRPr="001A14D2">
        <w:rPr>
          <w:rFonts w:asciiTheme="minorHAnsi" w:eastAsiaTheme="minorHAnsi" w:hAnsiTheme="minorHAnsi" w:cs="Times New Roman"/>
          <w:sz w:val="24"/>
          <w:szCs w:val="24"/>
        </w:rPr>
        <w:t>and emerging countries.</w:t>
      </w:r>
    </w:p>
    <w:p w14:paraId="1929E152" w14:textId="77777777" w:rsidR="007A4BC5"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Both issuers and the markets in which the assets will be mainly traded </w:t>
      </w:r>
      <w:r w:rsidR="007A4BC5" w:rsidRPr="001A14D2">
        <w:rPr>
          <w:rFonts w:asciiTheme="minorHAnsi" w:eastAsiaTheme="minorHAnsi" w:hAnsiTheme="minorHAnsi" w:cs="Times New Roman"/>
          <w:sz w:val="24"/>
          <w:szCs w:val="24"/>
        </w:rPr>
        <w:t>OCDE</w:t>
      </w:r>
      <w:r w:rsidR="00517DC2" w:rsidRPr="001A14D2">
        <w:rPr>
          <w:rFonts w:asciiTheme="minorHAnsi" w:eastAsiaTheme="minorHAnsi" w:hAnsiTheme="minorHAnsi" w:cs="Times New Roman"/>
          <w:sz w:val="24"/>
          <w:szCs w:val="24"/>
        </w:rPr>
        <w:t xml:space="preserve">, may invest up to 40% of the </w:t>
      </w:r>
      <w:r w:rsidRPr="001A14D2">
        <w:rPr>
          <w:rFonts w:asciiTheme="minorHAnsi" w:eastAsiaTheme="minorHAnsi" w:hAnsiTheme="minorHAnsi" w:cs="Times New Roman"/>
          <w:sz w:val="24"/>
          <w:szCs w:val="24"/>
        </w:rPr>
        <w:t>Total exposure in iss</w:t>
      </w:r>
      <w:r w:rsidR="00517DC2" w:rsidRPr="001A14D2">
        <w:rPr>
          <w:rFonts w:asciiTheme="minorHAnsi" w:eastAsiaTheme="minorHAnsi" w:hAnsiTheme="minorHAnsi" w:cs="Times New Roman"/>
          <w:sz w:val="24"/>
          <w:szCs w:val="24"/>
        </w:rPr>
        <w:t xml:space="preserve">uers and / or emerging markets. </w:t>
      </w:r>
    </w:p>
    <w:p w14:paraId="76B5CF04"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The currency risk may reach 100% of the total exposure. It may invest up to 100% of assets in financial IIC qualifying asset to be harmonized or not, within and outside the group the Manager. It will not invest more than 30% in UCITS not harmonized. The maximum exposure to market risk by using </w:t>
      </w:r>
      <w:r w:rsidR="00517DC2" w:rsidRPr="001A14D2">
        <w:rPr>
          <w:rFonts w:asciiTheme="minorHAnsi" w:eastAsiaTheme="minorHAnsi" w:hAnsiTheme="minorHAnsi" w:cs="Times New Roman"/>
          <w:sz w:val="24"/>
          <w:szCs w:val="24"/>
        </w:rPr>
        <w:t xml:space="preserve">derivatives is equity. </w:t>
      </w:r>
      <w:r w:rsidRPr="001A14D2">
        <w:rPr>
          <w:rFonts w:asciiTheme="minorHAnsi" w:eastAsiaTheme="minorHAnsi" w:hAnsiTheme="minorHAnsi" w:cs="Times New Roman"/>
          <w:sz w:val="24"/>
          <w:szCs w:val="24"/>
        </w:rPr>
        <w:t xml:space="preserve">It may invest more than 35% of assets in securities </w:t>
      </w:r>
      <w:r w:rsidRPr="001A14D2">
        <w:rPr>
          <w:rFonts w:asciiTheme="minorHAnsi" w:eastAsiaTheme="minorHAnsi" w:hAnsiTheme="minorHAnsi" w:cs="Times New Roman"/>
          <w:sz w:val="24"/>
          <w:szCs w:val="24"/>
        </w:rPr>
        <w:lastRenderedPageBreak/>
        <w:t>issued or guaranteed by a Member State of the European Union, one Autonomous Region, a local authority, international organizations to which Spain belongs and rating States solvency lower than the Kingdom of Spain.</w:t>
      </w:r>
    </w:p>
    <w:p w14:paraId="37D3D08D"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It can operate with derivative financial instruments traded on organized derivatives markets in order to cover and investment and not traded on organized derivatives for the purpose of hedging and investment markets. This action carries in risks the possibility that the coverage is not perfect, the leverage they entail and the lack of </w:t>
      </w:r>
      <w:proofErr w:type="gramStart"/>
      <w:r w:rsidRPr="001A14D2">
        <w:rPr>
          <w:rFonts w:asciiTheme="minorHAnsi" w:eastAsiaTheme="minorHAnsi" w:hAnsiTheme="minorHAnsi" w:cs="Times New Roman"/>
          <w:sz w:val="24"/>
          <w:szCs w:val="24"/>
        </w:rPr>
        <w:t>a camera</w:t>
      </w:r>
      <w:proofErr w:type="gramEnd"/>
      <w:r w:rsidRPr="001A14D2">
        <w:rPr>
          <w:rFonts w:asciiTheme="minorHAnsi" w:eastAsiaTheme="minorHAnsi" w:hAnsiTheme="minorHAnsi" w:cs="Times New Roman"/>
          <w:sz w:val="24"/>
          <w:szCs w:val="24"/>
        </w:rPr>
        <w:t xml:space="preserve"> compensation.</w:t>
      </w:r>
    </w:p>
    <w:p w14:paraId="53F4940D" w14:textId="77777777" w:rsidR="00EE7383" w:rsidRPr="001A14D2" w:rsidRDefault="00EE7383" w:rsidP="0065597B">
      <w:pPr>
        <w:pStyle w:val="HTMLPreformatted"/>
        <w:jc w:val="both"/>
        <w:rPr>
          <w:rFonts w:asciiTheme="minorHAnsi" w:eastAsiaTheme="minorHAnsi" w:hAnsiTheme="minorHAnsi" w:cs="Times New Roman"/>
          <w:sz w:val="24"/>
          <w:szCs w:val="24"/>
        </w:rPr>
      </w:pPr>
    </w:p>
    <w:p w14:paraId="68E0A6F7"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It may invest up to 10% of overall assets in assets that could introduce a greater risk than the rest of the investment due to its characteristics, among others, liquidity, issuer type or degree of investor protection.</w:t>
      </w:r>
      <w:r w:rsidR="00EE7383" w:rsidRPr="001A14D2">
        <w:rPr>
          <w:rFonts w:asciiTheme="minorHAnsi" w:eastAsiaTheme="minorHAnsi" w:hAnsiTheme="minorHAnsi" w:cs="Times New Roman"/>
          <w:sz w:val="24"/>
          <w:szCs w:val="24"/>
        </w:rPr>
        <w:t xml:space="preserve"> Specifically the Fund </w:t>
      </w:r>
      <w:r w:rsidRPr="001A14D2">
        <w:rPr>
          <w:rFonts w:asciiTheme="minorHAnsi" w:eastAsiaTheme="minorHAnsi" w:hAnsiTheme="minorHAnsi" w:cs="Times New Roman"/>
          <w:sz w:val="24"/>
          <w:szCs w:val="24"/>
        </w:rPr>
        <w:t>may be invested in:</w:t>
      </w:r>
    </w:p>
    <w:p w14:paraId="0D722F52" w14:textId="77777777" w:rsidR="00EE7383" w:rsidRPr="001A14D2" w:rsidRDefault="0065597B" w:rsidP="0065597B">
      <w:pPr>
        <w:pStyle w:val="HTMLPreformatted"/>
        <w:numPr>
          <w:ilvl w:val="0"/>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Shares and fixed income assets traded on any market or trading system </w:t>
      </w:r>
      <w:r w:rsidR="00EE7383" w:rsidRPr="001A14D2">
        <w:rPr>
          <w:rFonts w:asciiTheme="minorHAnsi" w:eastAsiaTheme="minorHAnsi" w:hAnsiTheme="minorHAnsi" w:cs="Times New Roman"/>
          <w:sz w:val="24"/>
          <w:szCs w:val="24"/>
        </w:rPr>
        <w:t xml:space="preserve">that </w:t>
      </w:r>
      <w:r w:rsidRPr="001A14D2">
        <w:rPr>
          <w:rFonts w:asciiTheme="minorHAnsi" w:eastAsiaTheme="minorHAnsi" w:hAnsiTheme="minorHAnsi" w:cs="Times New Roman"/>
          <w:sz w:val="24"/>
          <w:szCs w:val="24"/>
        </w:rPr>
        <w:t xml:space="preserve">have no characteristics </w:t>
      </w:r>
      <w:r w:rsidR="00EE7383" w:rsidRPr="001A14D2">
        <w:rPr>
          <w:rFonts w:asciiTheme="minorHAnsi" w:eastAsiaTheme="minorHAnsi" w:hAnsiTheme="minorHAnsi" w:cs="Times New Roman"/>
          <w:sz w:val="24"/>
          <w:szCs w:val="24"/>
        </w:rPr>
        <w:t>which are:</w:t>
      </w:r>
    </w:p>
    <w:p w14:paraId="708E0B3E" w14:textId="77777777" w:rsidR="00EE7383" w:rsidRPr="001A14D2" w:rsidRDefault="0065597B" w:rsidP="00EE7383">
      <w:pPr>
        <w:pStyle w:val="HTMLPreformatted"/>
        <w:numPr>
          <w:ilvl w:val="1"/>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similar to the </w:t>
      </w:r>
      <w:r w:rsidR="00EE7383" w:rsidRPr="001A14D2">
        <w:rPr>
          <w:rFonts w:asciiTheme="minorHAnsi" w:eastAsiaTheme="minorHAnsi" w:hAnsiTheme="minorHAnsi" w:cs="Times New Roman"/>
          <w:sz w:val="24"/>
          <w:szCs w:val="24"/>
        </w:rPr>
        <w:t xml:space="preserve">official </w:t>
      </w:r>
      <w:r w:rsidRPr="001A14D2">
        <w:rPr>
          <w:rFonts w:asciiTheme="minorHAnsi" w:eastAsiaTheme="minorHAnsi" w:hAnsiTheme="minorHAnsi" w:cs="Times New Roman"/>
          <w:sz w:val="24"/>
          <w:szCs w:val="24"/>
        </w:rPr>
        <w:t xml:space="preserve">Spanish </w:t>
      </w:r>
      <w:r w:rsidR="00EE7383" w:rsidRPr="001A14D2">
        <w:rPr>
          <w:rFonts w:asciiTheme="minorHAnsi" w:eastAsiaTheme="minorHAnsi" w:hAnsiTheme="minorHAnsi" w:cs="Times New Roman"/>
          <w:sz w:val="24"/>
          <w:szCs w:val="24"/>
        </w:rPr>
        <w:t xml:space="preserve">markets </w:t>
      </w:r>
      <w:r w:rsidRPr="001A14D2">
        <w:rPr>
          <w:rFonts w:asciiTheme="minorHAnsi" w:eastAsiaTheme="minorHAnsi" w:hAnsiTheme="minorHAnsi" w:cs="Times New Roman"/>
          <w:sz w:val="24"/>
          <w:szCs w:val="24"/>
        </w:rPr>
        <w:t xml:space="preserve">or </w:t>
      </w:r>
    </w:p>
    <w:p w14:paraId="14523B0B" w14:textId="77777777" w:rsidR="0065597B" w:rsidRPr="001A14D2" w:rsidRDefault="0065597B" w:rsidP="00EE7383">
      <w:pPr>
        <w:pStyle w:val="HTMLPreformatted"/>
        <w:numPr>
          <w:ilvl w:val="1"/>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are not subject to regulation or hav</w:t>
      </w:r>
      <w:r w:rsidR="00EE7383" w:rsidRPr="001A14D2">
        <w:rPr>
          <w:rFonts w:asciiTheme="minorHAnsi" w:eastAsiaTheme="minorHAnsi" w:hAnsiTheme="minorHAnsi" w:cs="Times New Roman"/>
          <w:sz w:val="24"/>
          <w:szCs w:val="24"/>
        </w:rPr>
        <w:t>e other mechanisms to ensure the</w:t>
      </w:r>
      <w:r w:rsidRPr="001A14D2">
        <w:rPr>
          <w:rFonts w:asciiTheme="minorHAnsi" w:eastAsiaTheme="minorHAnsi" w:hAnsiTheme="minorHAnsi" w:cs="Times New Roman"/>
          <w:sz w:val="24"/>
          <w:szCs w:val="24"/>
        </w:rPr>
        <w:t xml:space="preserve"> official market Liquidity</w:t>
      </w:r>
      <w:r w:rsidR="00EE7383" w:rsidRPr="001A14D2">
        <w:rPr>
          <w:rFonts w:asciiTheme="minorHAnsi" w:eastAsiaTheme="minorHAnsi" w:hAnsiTheme="minorHAnsi" w:cs="Times New Roman"/>
          <w:sz w:val="24"/>
          <w:szCs w:val="24"/>
        </w:rPr>
        <w:t xml:space="preserve"> which should be</w:t>
      </w:r>
      <w:r w:rsidRPr="001A14D2">
        <w:rPr>
          <w:rFonts w:asciiTheme="minorHAnsi" w:eastAsiaTheme="minorHAnsi" w:hAnsiTheme="minorHAnsi" w:cs="Times New Roman"/>
          <w:sz w:val="24"/>
          <w:szCs w:val="24"/>
        </w:rPr>
        <w:t xml:space="preserve"> at least </w:t>
      </w:r>
      <w:r w:rsidR="00EE7383" w:rsidRPr="001A14D2">
        <w:rPr>
          <w:rFonts w:asciiTheme="minorHAnsi" w:eastAsiaTheme="minorHAnsi" w:hAnsiTheme="minorHAnsi" w:cs="Times New Roman"/>
          <w:sz w:val="24"/>
          <w:szCs w:val="24"/>
        </w:rPr>
        <w:t xml:space="preserve">in line </w:t>
      </w:r>
      <w:r w:rsidRPr="001A14D2">
        <w:rPr>
          <w:rFonts w:asciiTheme="minorHAnsi" w:eastAsiaTheme="minorHAnsi" w:hAnsiTheme="minorHAnsi" w:cs="Times New Roman"/>
          <w:sz w:val="24"/>
          <w:szCs w:val="24"/>
        </w:rPr>
        <w:t xml:space="preserve">with the same frequency with which the </w:t>
      </w:r>
      <w:r w:rsidR="00EE7383" w:rsidRPr="001A14D2">
        <w:rPr>
          <w:rFonts w:asciiTheme="minorHAnsi" w:eastAsiaTheme="minorHAnsi" w:hAnsiTheme="minorHAnsi" w:cs="Times New Roman"/>
          <w:sz w:val="24"/>
          <w:szCs w:val="24"/>
        </w:rPr>
        <w:t>redemption policy of the Fund. The Fund</w:t>
      </w:r>
      <w:r w:rsidRPr="001A14D2">
        <w:rPr>
          <w:rFonts w:asciiTheme="minorHAnsi" w:eastAsiaTheme="minorHAnsi" w:hAnsiTheme="minorHAnsi" w:cs="Times New Roman"/>
          <w:sz w:val="24"/>
          <w:szCs w:val="24"/>
        </w:rPr>
        <w:t xml:space="preserve"> will select </w:t>
      </w:r>
      <w:r w:rsidR="00EE7383" w:rsidRPr="001A14D2">
        <w:rPr>
          <w:rFonts w:asciiTheme="minorHAnsi" w:eastAsiaTheme="minorHAnsi" w:hAnsiTheme="minorHAnsi" w:cs="Times New Roman"/>
          <w:sz w:val="24"/>
          <w:szCs w:val="24"/>
        </w:rPr>
        <w:t xml:space="preserve">such </w:t>
      </w:r>
      <w:r w:rsidRPr="001A14D2">
        <w:rPr>
          <w:rFonts w:asciiTheme="minorHAnsi" w:eastAsiaTheme="minorHAnsi" w:hAnsiTheme="minorHAnsi" w:cs="Times New Roman"/>
          <w:sz w:val="24"/>
          <w:szCs w:val="24"/>
        </w:rPr>
        <w:t>assets and</w:t>
      </w:r>
      <w:r w:rsidR="00EE7383" w:rsidRPr="001A14D2">
        <w:rPr>
          <w:rFonts w:asciiTheme="minorHAnsi" w:eastAsiaTheme="minorHAnsi" w:hAnsiTheme="minorHAnsi" w:cs="Times New Roman"/>
          <w:sz w:val="24"/>
          <w:szCs w:val="24"/>
        </w:rPr>
        <w:t>/or</w:t>
      </w:r>
      <w:r w:rsidRPr="001A14D2">
        <w:rPr>
          <w:rFonts w:asciiTheme="minorHAnsi" w:eastAsiaTheme="minorHAnsi" w:hAnsiTheme="minorHAnsi" w:cs="Times New Roman"/>
          <w:sz w:val="24"/>
          <w:szCs w:val="24"/>
        </w:rPr>
        <w:t xml:space="preserve"> markets seeking </w:t>
      </w:r>
      <w:r w:rsidR="00EE7383" w:rsidRPr="001A14D2">
        <w:rPr>
          <w:rFonts w:asciiTheme="minorHAnsi" w:eastAsiaTheme="minorHAnsi" w:hAnsiTheme="minorHAnsi" w:cs="Times New Roman"/>
          <w:sz w:val="24"/>
          <w:szCs w:val="24"/>
        </w:rPr>
        <w:t xml:space="preserve">such </w:t>
      </w:r>
      <w:r w:rsidRPr="001A14D2">
        <w:rPr>
          <w:rFonts w:asciiTheme="minorHAnsi" w:eastAsiaTheme="minorHAnsi" w:hAnsiTheme="minorHAnsi" w:cs="Times New Roman"/>
          <w:sz w:val="24"/>
          <w:szCs w:val="24"/>
        </w:rPr>
        <w:t>investment opportunities or diversi</w:t>
      </w:r>
      <w:r w:rsidR="00EE7383" w:rsidRPr="001A14D2">
        <w:rPr>
          <w:rFonts w:asciiTheme="minorHAnsi" w:eastAsiaTheme="minorHAnsi" w:hAnsiTheme="minorHAnsi" w:cs="Times New Roman"/>
          <w:sz w:val="24"/>
          <w:szCs w:val="24"/>
        </w:rPr>
        <w:t>fication possibilities without any</w:t>
      </w:r>
      <w:r w:rsidRPr="001A14D2">
        <w:rPr>
          <w:rFonts w:asciiTheme="minorHAnsi" w:eastAsiaTheme="minorHAnsi" w:hAnsiTheme="minorHAnsi" w:cs="Times New Roman"/>
          <w:sz w:val="24"/>
          <w:szCs w:val="24"/>
        </w:rPr>
        <w:t xml:space="preserve"> predetermine</w:t>
      </w:r>
      <w:r w:rsidR="00EE7383" w:rsidRPr="001A14D2">
        <w:rPr>
          <w:rFonts w:asciiTheme="minorHAnsi" w:eastAsiaTheme="minorHAnsi" w:hAnsiTheme="minorHAnsi" w:cs="Times New Roman"/>
          <w:sz w:val="24"/>
          <w:szCs w:val="24"/>
        </w:rPr>
        <w:t>d</w:t>
      </w:r>
      <w:r w:rsidRPr="001A14D2">
        <w:rPr>
          <w:rFonts w:asciiTheme="minorHAnsi" w:eastAsiaTheme="minorHAnsi" w:hAnsiTheme="minorHAnsi" w:cs="Times New Roman"/>
          <w:sz w:val="24"/>
          <w:szCs w:val="24"/>
        </w:rPr>
        <w:t xml:space="preserve"> types of asset</w:t>
      </w:r>
      <w:r w:rsidR="00EE7383" w:rsidRPr="001A14D2">
        <w:rPr>
          <w:rFonts w:asciiTheme="minorHAnsi" w:eastAsiaTheme="minorHAnsi" w:hAnsiTheme="minorHAnsi" w:cs="Times New Roman"/>
          <w:sz w:val="24"/>
          <w:szCs w:val="24"/>
        </w:rPr>
        <w:t>s</w:t>
      </w:r>
      <w:r w:rsidRPr="001A14D2">
        <w:rPr>
          <w:rFonts w:asciiTheme="minorHAnsi" w:eastAsiaTheme="minorHAnsi" w:hAnsiTheme="minorHAnsi" w:cs="Times New Roman"/>
          <w:sz w:val="24"/>
          <w:szCs w:val="24"/>
        </w:rPr>
        <w:t xml:space="preserve"> or </w:t>
      </w:r>
      <w:r w:rsidR="00EE7383" w:rsidRPr="001A14D2">
        <w:rPr>
          <w:rFonts w:asciiTheme="minorHAnsi" w:eastAsiaTheme="minorHAnsi" w:hAnsiTheme="minorHAnsi" w:cs="Times New Roman"/>
          <w:sz w:val="24"/>
          <w:szCs w:val="24"/>
        </w:rPr>
        <w:t xml:space="preserve">geographical </w:t>
      </w:r>
      <w:r w:rsidRPr="001A14D2">
        <w:rPr>
          <w:rFonts w:asciiTheme="minorHAnsi" w:eastAsiaTheme="minorHAnsi" w:hAnsiTheme="minorHAnsi" w:cs="Times New Roman"/>
          <w:sz w:val="24"/>
          <w:szCs w:val="24"/>
        </w:rPr>
        <w:t>location</w:t>
      </w:r>
      <w:r w:rsidR="00EE7383" w:rsidRPr="001A14D2">
        <w:rPr>
          <w:rFonts w:asciiTheme="minorHAnsi" w:eastAsiaTheme="minorHAnsi" w:hAnsiTheme="minorHAnsi" w:cs="Times New Roman"/>
          <w:sz w:val="24"/>
          <w:szCs w:val="24"/>
        </w:rPr>
        <w:t>s</w:t>
      </w:r>
    </w:p>
    <w:p w14:paraId="31AFCFAB" w14:textId="77777777" w:rsidR="0065597B" w:rsidRPr="001A14D2" w:rsidRDefault="0065597B" w:rsidP="0065597B">
      <w:pPr>
        <w:pStyle w:val="HTMLPreformatted"/>
        <w:numPr>
          <w:ilvl w:val="0"/>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Units or shares when they are transmissible, with private equity firms regulated, managed or not by entities Group Manager</w:t>
      </w:r>
    </w:p>
    <w:p w14:paraId="40BE8F37" w14:textId="77777777" w:rsidR="0065597B" w:rsidRPr="001A14D2" w:rsidRDefault="0065597B" w:rsidP="00AE2EB8">
      <w:pPr>
        <w:pStyle w:val="HTMLPreformatted"/>
        <w:jc w:val="both"/>
        <w:rPr>
          <w:rFonts w:asciiTheme="minorHAnsi" w:eastAsiaTheme="minorHAnsi" w:hAnsiTheme="minorHAnsi" w:cs="Times New Roman"/>
          <w:sz w:val="24"/>
          <w:szCs w:val="24"/>
        </w:rPr>
      </w:pPr>
    </w:p>
    <w:p w14:paraId="6988FE61" w14:textId="77777777" w:rsidR="0065597B" w:rsidRPr="001A14D2" w:rsidRDefault="0065597B" w:rsidP="0065597B">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Warnings relevant investment risks:</w:t>
      </w:r>
    </w:p>
    <w:p w14:paraId="4793C16E"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The investments could </w:t>
      </w:r>
      <w:proofErr w:type="gramStart"/>
      <w:r w:rsidRPr="001A14D2">
        <w:rPr>
          <w:rFonts w:asciiTheme="minorHAnsi" w:eastAsiaTheme="minorHAnsi" w:hAnsiTheme="minorHAnsi" w:cs="Times New Roman"/>
          <w:sz w:val="24"/>
          <w:szCs w:val="24"/>
        </w:rPr>
        <w:t>carry ,</w:t>
      </w:r>
      <w:proofErr w:type="gramEnd"/>
      <w:r w:rsidRPr="001A14D2">
        <w:rPr>
          <w:rFonts w:asciiTheme="minorHAnsi" w:eastAsiaTheme="minorHAnsi" w:hAnsiTheme="minorHAnsi" w:cs="Times New Roman"/>
          <w:sz w:val="24"/>
          <w:szCs w:val="24"/>
        </w:rPr>
        <w:t xml:space="preserve"> among others, a risk equity market , interest rate , exchange rate and </w:t>
      </w:r>
      <w:proofErr w:type="spellStart"/>
      <w:r w:rsidRPr="001A14D2">
        <w:rPr>
          <w:rFonts w:asciiTheme="minorHAnsi" w:eastAsiaTheme="minorHAnsi" w:hAnsiTheme="minorHAnsi" w:cs="Times New Roman"/>
          <w:sz w:val="24"/>
          <w:szCs w:val="24"/>
        </w:rPr>
        <w:t>and</w:t>
      </w:r>
      <w:proofErr w:type="spellEnd"/>
      <w:r w:rsidRPr="001A14D2">
        <w:rPr>
          <w:rFonts w:asciiTheme="minorHAnsi" w:eastAsiaTheme="minorHAnsi" w:hAnsiTheme="minorHAnsi" w:cs="Times New Roman"/>
          <w:sz w:val="24"/>
          <w:szCs w:val="24"/>
        </w:rPr>
        <w:t xml:space="preserve"> investment in emerging markets.</w:t>
      </w:r>
    </w:p>
    <w:p w14:paraId="0A706BE9" w14:textId="77777777" w:rsidR="0065597B" w:rsidRPr="001A14D2" w:rsidRDefault="0065597B" w:rsidP="0065597B">
      <w:pPr>
        <w:pStyle w:val="HTMLPreformatted"/>
        <w:jc w:val="both"/>
        <w:rPr>
          <w:rFonts w:asciiTheme="minorHAnsi" w:eastAsiaTheme="minorHAnsi" w:hAnsiTheme="minorHAnsi" w:cs="Times New Roman"/>
          <w:sz w:val="24"/>
          <w:szCs w:val="24"/>
        </w:rPr>
      </w:pPr>
    </w:p>
    <w:p w14:paraId="15E8800C" w14:textId="77777777" w:rsidR="0065597B" w:rsidRPr="001A14D2" w:rsidRDefault="0065597B" w:rsidP="0065597B">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 xml:space="preserve">Further information on </w:t>
      </w:r>
      <w:proofErr w:type="gramStart"/>
      <w:r w:rsidRPr="001A14D2">
        <w:rPr>
          <w:rFonts w:asciiTheme="minorHAnsi" w:eastAsiaTheme="minorHAnsi" w:hAnsiTheme="minorHAnsi" w:cs="Times New Roman"/>
          <w:b/>
          <w:sz w:val="24"/>
          <w:szCs w:val="24"/>
        </w:rPr>
        <w:t>investments :</w:t>
      </w:r>
      <w:proofErr w:type="gramEnd"/>
    </w:p>
    <w:p w14:paraId="1384FAE5" w14:textId="77777777" w:rsidR="0065597B" w:rsidRPr="001A14D2" w:rsidRDefault="0065597B"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The fund complies with Directive 2009/65 / EC.</w:t>
      </w:r>
    </w:p>
    <w:p w14:paraId="6F99CEF2" w14:textId="77777777" w:rsidR="0065597B" w:rsidRPr="001A14D2" w:rsidRDefault="0065597B"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The fund does not have a specific performance objective. The management objective is </w:t>
      </w:r>
      <w:proofErr w:type="gramStart"/>
      <w:r w:rsidRPr="001A14D2">
        <w:rPr>
          <w:rFonts w:asciiTheme="minorHAnsi" w:eastAsiaTheme="minorHAnsi" w:hAnsiTheme="minorHAnsi" w:cs="Times New Roman"/>
          <w:sz w:val="24"/>
          <w:szCs w:val="24"/>
        </w:rPr>
        <w:t>to</w:t>
      </w:r>
      <w:proofErr w:type="gramEnd"/>
      <w:r w:rsidRPr="001A14D2">
        <w:rPr>
          <w:rFonts w:asciiTheme="minorHAnsi" w:eastAsiaTheme="minorHAnsi" w:hAnsiTheme="minorHAnsi" w:cs="Times New Roman"/>
          <w:sz w:val="24"/>
          <w:szCs w:val="24"/>
        </w:rPr>
        <w:t xml:space="preserve"> obtain an adequate return to the goal of maximum volatility of 10%.</w:t>
      </w:r>
    </w:p>
    <w:p w14:paraId="7AA51D1C" w14:textId="77777777" w:rsidR="0065597B" w:rsidRPr="001A14D2" w:rsidRDefault="0065597B"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The fund will apply the commitment approach for measuring exposure to market risk associated with transactions with derivative financial instruments.</w:t>
      </w:r>
    </w:p>
    <w:p w14:paraId="2B5ABD79" w14:textId="77777777" w:rsidR="0065597B" w:rsidRPr="001A14D2" w:rsidRDefault="0065597B"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Since the fund carries out a policy of active investment , it can bring about expenses associated with buying and selling securities that the Manager will negotiate the most advantageous way to the bottom , trying not to negatively impact the value NAV of it</w:t>
      </w:r>
    </w:p>
    <w:p w14:paraId="5323A000" w14:textId="77777777" w:rsidR="0065597B" w:rsidRPr="001A14D2" w:rsidRDefault="00EE7383"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The Fund may use techniques such as</w:t>
      </w:r>
      <w:r w:rsidR="0065597B" w:rsidRPr="001A14D2">
        <w:rPr>
          <w:rFonts w:asciiTheme="minorHAnsi" w:eastAsiaTheme="minorHAnsi" w:hAnsiTheme="minorHAnsi" w:cs="Times New Roman"/>
          <w:sz w:val="24"/>
          <w:szCs w:val="24"/>
        </w:rPr>
        <w:t xml:space="preserve"> those covered by Article 18 of the Order EHA 888/2008 , always in the best interest of the Fund,</w:t>
      </w:r>
    </w:p>
    <w:p w14:paraId="18BE0010" w14:textId="77777777" w:rsidR="0065597B" w:rsidRPr="001A14D2" w:rsidRDefault="0065597B"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Specifically, reverse repurchase </w:t>
      </w:r>
      <w:proofErr w:type="gramStart"/>
      <w:r w:rsidRPr="001A14D2">
        <w:rPr>
          <w:rFonts w:asciiTheme="minorHAnsi" w:eastAsiaTheme="minorHAnsi" w:hAnsiTheme="minorHAnsi" w:cs="Times New Roman"/>
          <w:sz w:val="24"/>
          <w:szCs w:val="24"/>
        </w:rPr>
        <w:t>( repo</w:t>
      </w:r>
      <w:proofErr w:type="gramEnd"/>
      <w:r w:rsidRPr="001A14D2">
        <w:rPr>
          <w:rFonts w:asciiTheme="minorHAnsi" w:eastAsiaTheme="minorHAnsi" w:hAnsiTheme="minorHAnsi" w:cs="Times New Roman"/>
          <w:sz w:val="24"/>
          <w:szCs w:val="24"/>
        </w:rPr>
        <w:t xml:space="preserve"> ) public debt rating to the euro zone described above, due less than 7 days. The counterparty risk associated with these transactions is not considered relevant amount being collateralized by underlying itself on which the repurchase is made. Exceptionally said operating can be performed at longer terms </w:t>
      </w:r>
      <w:r w:rsidRPr="001A14D2">
        <w:rPr>
          <w:rFonts w:asciiTheme="minorHAnsi" w:eastAsiaTheme="minorHAnsi" w:hAnsiTheme="minorHAnsi" w:cs="Times New Roman"/>
          <w:sz w:val="24"/>
          <w:szCs w:val="24"/>
        </w:rPr>
        <w:lastRenderedPageBreak/>
        <w:t xml:space="preserve">(Maximum 12 months); in this case, the counterparty risk will not be relevant to these </w:t>
      </w:r>
      <w:proofErr w:type="spellStart"/>
      <w:r w:rsidRPr="001A14D2">
        <w:rPr>
          <w:rFonts w:asciiTheme="minorHAnsi" w:eastAsiaTheme="minorHAnsi" w:hAnsiTheme="minorHAnsi" w:cs="Times New Roman"/>
          <w:sz w:val="24"/>
          <w:szCs w:val="24"/>
        </w:rPr>
        <w:t>collateralised</w:t>
      </w:r>
      <w:proofErr w:type="spellEnd"/>
      <w:r w:rsidRPr="001A14D2">
        <w:rPr>
          <w:rFonts w:asciiTheme="minorHAnsi" w:eastAsiaTheme="minorHAnsi" w:hAnsiTheme="minorHAnsi" w:cs="Times New Roman"/>
          <w:sz w:val="24"/>
          <w:szCs w:val="24"/>
        </w:rPr>
        <w:t xml:space="preserve"> transactions the assets acquired and additionally by other guarantees / collateral described in the following paragraph.</w:t>
      </w:r>
    </w:p>
    <w:p w14:paraId="4C15140B" w14:textId="77777777" w:rsidR="0065597B" w:rsidRPr="001A14D2" w:rsidRDefault="0065597B"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In general, the Fund may receive guarantees and / or collateral necessary to mitigate (fully or partially) the risk of counterpart associated with OTC derivatives contract and / or the use of management techniques efficient purse. In the event that was received side, it may consist of any of the forms permitted by regulations (except cash), and its calculation is applied margins (haircuts) according to market practices in terms of their features (credit quality, maturity, </w:t>
      </w:r>
      <w:proofErr w:type="spellStart"/>
      <w:r w:rsidRPr="001A14D2">
        <w:rPr>
          <w:rFonts w:asciiTheme="minorHAnsi" w:eastAsiaTheme="minorHAnsi" w:hAnsiTheme="minorHAnsi" w:cs="Times New Roman"/>
          <w:sz w:val="24"/>
          <w:szCs w:val="24"/>
        </w:rPr>
        <w:t>etc</w:t>
      </w:r>
      <w:proofErr w:type="spellEnd"/>
      <w:r w:rsidRPr="001A14D2">
        <w:rPr>
          <w:rFonts w:asciiTheme="minorHAnsi" w:eastAsiaTheme="minorHAnsi" w:hAnsiTheme="minorHAnsi" w:cs="Times New Roman"/>
          <w:sz w:val="24"/>
          <w:szCs w:val="24"/>
        </w:rPr>
        <w:t xml:space="preserve">). The counterparties to OTC financial institutions are domiciled in the </w:t>
      </w:r>
      <w:r w:rsidR="007D425B" w:rsidRPr="001A14D2">
        <w:rPr>
          <w:rFonts w:asciiTheme="minorHAnsi" w:eastAsiaTheme="minorHAnsi" w:hAnsiTheme="minorHAnsi" w:cs="Times New Roman"/>
          <w:sz w:val="24"/>
          <w:szCs w:val="24"/>
        </w:rPr>
        <w:t>OCDE</w:t>
      </w:r>
      <w:r w:rsidRPr="001A14D2">
        <w:rPr>
          <w:rFonts w:asciiTheme="minorHAnsi" w:eastAsiaTheme="minorHAnsi" w:hAnsiTheme="minorHAnsi" w:cs="Times New Roman"/>
          <w:sz w:val="24"/>
          <w:szCs w:val="24"/>
        </w:rPr>
        <w:t>, with sufficient solvency in the opinion of the Management</w:t>
      </w:r>
    </w:p>
    <w:p w14:paraId="5FAEC69B" w14:textId="77777777" w:rsidR="0065597B" w:rsidRPr="001A14D2" w:rsidRDefault="0065597B"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The Fund may bear costs of this operation, to be economically appropriate, in the sense that they are effective in relation to cost. The entities to which that cost will be paid prestigious institutions in the market, being able or may not belong to the group of the Manager. </w:t>
      </w:r>
    </w:p>
    <w:p w14:paraId="4F0615A1" w14:textId="77777777" w:rsidR="0065597B" w:rsidRPr="001A14D2" w:rsidRDefault="0006760E" w:rsidP="0065597B">
      <w:pPr>
        <w:pStyle w:val="HTMLPreformatted"/>
        <w:numPr>
          <w:ilvl w:val="0"/>
          <w:numId w:val="5"/>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Temporary</w:t>
      </w:r>
      <w:r w:rsidR="0065597B" w:rsidRPr="001A14D2">
        <w:rPr>
          <w:rFonts w:asciiTheme="minorHAnsi" w:eastAsiaTheme="minorHAnsi" w:hAnsiTheme="minorHAnsi" w:cs="Times New Roman"/>
          <w:sz w:val="24"/>
          <w:szCs w:val="24"/>
        </w:rPr>
        <w:t xml:space="preserve"> situations </w:t>
      </w:r>
      <w:r w:rsidRPr="001A14D2">
        <w:rPr>
          <w:rFonts w:asciiTheme="minorHAnsi" w:eastAsiaTheme="minorHAnsi" w:hAnsiTheme="minorHAnsi" w:cs="Times New Roman"/>
          <w:sz w:val="24"/>
          <w:szCs w:val="24"/>
        </w:rPr>
        <w:t xml:space="preserve">of </w:t>
      </w:r>
      <w:r w:rsidR="0065597B" w:rsidRPr="001A14D2">
        <w:rPr>
          <w:rFonts w:asciiTheme="minorHAnsi" w:eastAsiaTheme="minorHAnsi" w:hAnsiTheme="minorHAnsi" w:cs="Times New Roman"/>
          <w:sz w:val="24"/>
          <w:szCs w:val="24"/>
        </w:rPr>
        <w:t xml:space="preserve">less risk </w:t>
      </w:r>
      <w:r w:rsidRPr="001A14D2">
        <w:rPr>
          <w:rFonts w:asciiTheme="minorHAnsi" w:eastAsiaTheme="minorHAnsi" w:hAnsiTheme="minorHAnsi" w:cs="Times New Roman"/>
          <w:sz w:val="24"/>
          <w:szCs w:val="24"/>
        </w:rPr>
        <w:t>will be allowed in the</w:t>
      </w:r>
      <w:r w:rsidR="0065597B" w:rsidRPr="001A14D2">
        <w:rPr>
          <w:rFonts w:asciiTheme="minorHAnsi" w:eastAsiaTheme="minorHAnsi" w:hAnsiTheme="minorHAnsi" w:cs="Times New Roman"/>
          <w:sz w:val="24"/>
          <w:szCs w:val="24"/>
        </w:rPr>
        <w:t xml:space="preserve"> portfolio, without entailing a change</w:t>
      </w:r>
      <w:r w:rsidRPr="001A14D2">
        <w:rPr>
          <w:rFonts w:asciiTheme="minorHAnsi" w:eastAsiaTheme="minorHAnsi" w:hAnsiTheme="minorHAnsi" w:cs="Times New Roman"/>
          <w:sz w:val="24"/>
          <w:szCs w:val="24"/>
        </w:rPr>
        <w:t>/modification</w:t>
      </w:r>
      <w:r w:rsidR="0065597B" w:rsidRPr="001A14D2">
        <w:rPr>
          <w:rFonts w:asciiTheme="minorHAnsi" w:eastAsiaTheme="minorHAnsi" w:hAnsiTheme="minorHAnsi" w:cs="Times New Roman"/>
          <w:sz w:val="24"/>
          <w:szCs w:val="24"/>
        </w:rPr>
        <w:t xml:space="preserve"> in the investment objective.</w:t>
      </w:r>
    </w:p>
    <w:p w14:paraId="37789BDA" w14:textId="77777777" w:rsidR="0065597B" w:rsidRPr="001A14D2" w:rsidRDefault="0065597B" w:rsidP="00AE2EB8">
      <w:pPr>
        <w:pStyle w:val="HTMLPreformatted"/>
        <w:jc w:val="both"/>
        <w:rPr>
          <w:rFonts w:asciiTheme="minorHAnsi" w:eastAsiaTheme="minorHAnsi" w:hAnsiTheme="minorHAnsi" w:cs="Times New Roman"/>
          <w:sz w:val="24"/>
          <w:szCs w:val="24"/>
        </w:rPr>
      </w:pPr>
    </w:p>
    <w:p w14:paraId="28FFD649" w14:textId="77777777" w:rsidR="0065597B" w:rsidRPr="001A14D2" w:rsidRDefault="0065597B" w:rsidP="0065597B">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Details of the risks inherent in investments:</w:t>
      </w:r>
    </w:p>
    <w:p w14:paraId="79CC6B0F"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Investment risk in emerging markets:</w:t>
      </w:r>
      <w:r w:rsidRPr="001A14D2">
        <w:rPr>
          <w:rFonts w:asciiTheme="minorHAnsi" w:eastAsiaTheme="minorHAnsi" w:hAnsiTheme="minorHAnsi" w:cs="Times New Roman"/>
          <w:sz w:val="24"/>
          <w:szCs w:val="24"/>
        </w:rPr>
        <w:t xml:space="preserve"> Investments in emerging markets may be more volatile than investments in developed markets. Some of these countries may have relatively unstable governments, economies based on few industries and markets in which a limited number of these are traded. The risk of nationalization or expropriation of assets, and social instability, political and economic is higher in emerging markets than in developed markets. Markets securities of emerging countries tend to have considerably less volume of business developed a market which causes a lack of liquidity and high price volatility.</w:t>
      </w:r>
    </w:p>
    <w:p w14:paraId="323415A9" w14:textId="77777777" w:rsidR="0065597B" w:rsidRPr="001A14D2" w:rsidRDefault="0065597B" w:rsidP="0065597B">
      <w:pPr>
        <w:pStyle w:val="HTMLPreformatted"/>
        <w:jc w:val="both"/>
        <w:rPr>
          <w:rFonts w:asciiTheme="minorHAnsi" w:eastAsiaTheme="minorHAnsi" w:hAnsiTheme="minorHAnsi" w:cs="Times New Roman"/>
          <w:sz w:val="24"/>
          <w:szCs w:val="24"/>
        </w:rPr>
      </w:pPr>
    </w:p>
    <w:p w14:paraId="132FCDF0"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u w:val="single"/>
        </w:rPr>
        <w:t>Market risk</w:t>
      </w:r>
      <w:r w:rsidRPr="001A14D2">
        <w:rPr>
          <w:rFonts w:asciiTheme="minorHAnsi" w:eastAsiaTheme="minorHAnsi" w:hAnsiTheme="minorHAnsi" w:cs="Times New Roman"/>
          <w:sz w:val="24"/>
          <w:szCs w:val="24"/>
        </w:rPr>
        <w:t>: Market risk is a general risk involved because investing in any asset class.</w:t>
      </w:r>
    </w:p>
    <w:p w14:paraId="2BFC25FD" w14:textId="77777777" w:rsidR="0065597B" w:rsidRPr="001A14D2" w:rsidRDefault="0065597B" w:rsidP="0065597B">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The price of the assets depends especially on the performance of the financial markets and economic developments issuers, meanwhile, are influenced by the overall situation of the world economy and for political and economic circumstances within the respective countries. In particular investments involve:</w:t>
      </w:r>
    </w:p>
    <w:p w14:paraId="034A1E6D" w14:textId="77777777" w:rsidR="0065597B" w:rsidRPr="001A14D2" w:rsidRDefault="0065597B" w:rsidP="0065597B">
      <w:pPr>
        <w:pStyle w:val="HTMLPreformatted"/>
        <w:numPr>
          <w:ilvl w:val="0"/>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Market risk by investing in equities: Derived from variations in the price of equities. The market equity </w:t>
      </w:r>
      <w:proofErr w:type="gramStart"/>
      <w:r w:rsidRPr="001A14D2">
        <w:rPr>
          <w:rFonts w:asciiTheme="minorHAnsi" w:eastAsiaTheme="minorHAnsi" w:hAnsiTheme="minorHAnsi" w:cs="Times New Roman"/>
          <w:sz w:val="24"/>
          <w:szCs w:val="24"/>
        </w:rPr>
        <w:t>has,</w:t>
      </w:r>
      <w:proofErr w:type="gramEnd"/>
      <w:r w:rsidRPr="001A14D2">
        <w:rPr>
          <w:rFonts w:asciiTheme="minorHAnsi" w:eastAsiaTheme="minorHAnsi" w:hAnsiTheme="minorHAnsi" w:cs="Times New Roman"/>
          <w:sz w:val="24"/>
          <w:szCs w:val="24"/>
        </w:rPr>
        <w:t xml:space="preserve"> generally high volatility which determines the price of equities may oscillate significantly.</w:t>
      </w:r>
    </w:p>
    <w:p w14:paraId="4D7DE1F6" w14:textId="77777777" w:rsidR="0065597B" w:rsidRPr="001A14D2" w:rsidRDefault="0065597B" w:rsidP="0065597B">
      <w:pPr>
        <w:pStyle w:val="HTMLPreformatted"/>
        <w:numPr>
          <w:ilvl w:val="0"/>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Interest rate risk: Changes or fluctuations in interest rates affect the price of fixed-income assets. Rises affect interest rates, in general, negative price of these assets while you determine rate cuts price increases. The sensitivity of changes in the price of bonds to fluctuations in interest rates is the greater the greater its maturity.</w:t>
      </w:r>
    </w:p>
    <w:p w14:paraId="71527435" w14:textId="77777777" w:rsidR="0065597B" w:rsidRPr="001A14D2" w:rsidRDefault="0065597B" w:rsidP="0065597B">
      <w:pPr>
        <w:pStyle w:val="HTMLPreformatted"/>
        <w:numPr>
          <w:ilvl w:val="0"/>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Exchange rate risk: As a result of investment in assets denominated in currencies other than the reference currency participation assumes arising from fluctuations in the exchange rate risk.</w:t>
      </w:r>
    </w:p>
    <w:p w14:paraId="0340FDEF" w14:textId="77777777" w:rsidR="0035756F" w:rsidRPr="001A14D2" w:rsidRDefault="0035756F" w:rsidP="0035756F">
      <w:pPr>
        <w:pStyle w:val="HTMLPreformatted"/>
        <w:numPr>
          <w:ilvl w:val="0"/>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lastRenderedPageBreak/>
        <w:t xml:space="preserve">Credit risk: The risk that the issuer of fixed income assets </w:t>
      </w:r>
      <w:proofErr w:type="spellStart"/>
      <w:r w:rsidRPr="001A14D2">
        <w:rPr>
          <w:rFonts w:asciiTheme="minorHAnsi" w:eastAsiaTheme="minorHAnsi" w:hAnsiTheme="minorHAnsi" w:cs="Times New Roman"/>
          <w:sz w:val="24"/>
          <w:szCs w:val="24"/>
        </w:rPr>
        <w:t>can not</w:t>
      </w:r>
      <w:proofErr w:type="spellEnd"/>
      <w:r w:rsidRPr="001A14D2">
        <w:rPr>
          <w:rFonts w:asciiTheme="minorHAnsi" w:eastAsiaTheme="minorHAnsi" w:hAnsiTheme="minorHAnsi" w:cs="Times New Roman"/>
          <w:sz w:val="24"/>
          <w:szCs w:val="24"/>
        </w:rPr>
        <w:t xml:space="preserve"> cope with the payment of principal and interest.</w:t>
      </w:r>
    </w:p>
    <w:p w14:paraId="6F5A63DB" w14:textId="77777777" w:rsidR="0035756F" w:rsidRPr="001A14D2" w:rsidRDefault="0035756F" w:rsidP="0035756F">
      <w:pPr>
        <w:pStyle w:val="HTMLPreformatted"/>
        <w:numPr>
          <w:ilvl w:val="0"/>
          <w:numId w:val="3"/>
        </w:numPr>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Liquidity risk can adversely affect the liquidity of the fund and / or price conditions in which the fund may be forced to modify their </w:t>
      </w:r>
      <w:proofErr w:type="gramStart"/>
      <w:r w:rsidRPr="001A14D2">
        <w:rPr>
          <w:rFonts w:asciiTheme="minorHAnsi" w:eastAsiaTheme="minorHAnsi" w:hAnsiTheme="minorHAnsi" w:cs="Times New Roman"/>
          <w:sz w:val="24"/>
          <w:szCs w:val="24"/>
        </w:rPr>
        <w:t>positions .</w:t>
      </w:r>
      <w:proofErr w:type="gramEnd"/>
    </w:p>
    <w:p w14:paraId="79B5C4F0" w14:textId="77777777" w:rsidR="0065597B" w:rsidRPr="001A14D2" w:rsidRDefault="0065597B" w:rsidP="00AE2EB8">
      <w:pPr>
        <w:pStyle w:val="HTMLPreformatted"/>
        <w:jc w:val="both"/>
        <w:rPr>
          <w:rFonts w:asciiTheme="minorHAnsi" w:eastAsiaTheme="minorHAnsi" w:hAnsiTheme="minorHAnsi" w:cs="Times New Roman"/>
          <w:sz w:val="24"/>
          <w:szCs w:val="24"/>
        </w:rPr>
      </w:pPr>
    </w:p>
    <w:p w14:paraId="4D51302F" w14:textId="77777777" w:rsidR="0035756F" w:rsidRPr="001A14D2" w:rsidRDefault="0035756F" w:rsidP="0035756F">
      <w:pPr>
        <w:pStyle w:val="HTMLPreformatted"/>
        <w:jc w:val="both"/>
        <w:rPr>
          <w:rFonts w:asciiTheme="minorHAnsi" w:eastAsiaTheme="minorHAnsi" w:hAnsiTheme="minorHAnsi" w:cs="Times New Roman"/>
          <w:sz w:val="24"/>
          <w:szCs w:val="24"/>
          <w:u w:val="single"/>
        </w:rPr>
      </w:pPr>
      <w:r w:rsidRPr="001A14D2">
        <w:rPr>
          <w:rFonts w:asciiTheme="minorHAnsi" w:eastAsiaTheme="minorHAnsi" w:hAnsiTheme="minorHAnsi" w:cs="Times New Roman"/>
          <w:sz w:val="24"/>
          <w:szCs w:val="24"/>
          <w:u w:val="single"/>
        </w:rPr>
        <w:t>Risks by investing in financial derivative instruments:</w:t>
      </w:r>
    </w:p>
    <w:p w14:paraId="3EB264CC" w14:textId="77777777" w:rsidR="0035756F" w:rsidRPr="001A14D2" w:rsidRDefault="0035756F" w:rsidP="0035756F">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The use of derivative financial instruments, including hedge of cash investments, it also carries risks, such as possibility of an imperfect correlation between the movement in the value of derivative contracts and elements to coverage, which may result in that it does not have all the expected success.</w:t>
      </w:r>
    </w:p>
    <w:p w14:paraId="5CD1CB43" w14:textId="77777777" w:rsidR="0065597B" w:rsidRPr="001A14D2" w:rsidRDefault="0035756F" w:rsidP="0035756F">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Investments in derivative financial instruments involve additional risks to cash investments by the involving leverage, which makes them particularly sensitive to changes in price of the underlying and can multiply them </w:t>
      </w:r>
      <w:r w:rsidR="00517DC2" w:rsidRPr="001A14D2">
        <w:rPr>
          <w:rFonts w:asciiTheme="minorHAnsi" w:eastAsiaTheme="minorHAnsi" w:hAnsiTheme="minorHAnsi" w:cs="Times New Roman"/>
          <w:sz w:val="24"/>
          <w:szCs w:val="24"/>
        </w:rPr>
        <w:t xml:space="preserve">impairment of the portfolio. </w:t>
      </w:r>
      <w:r w:rsidRPr="001A14D2">
        <w:rPr>
          <w:rFonts w:asciiTheme="minorHAnsi" w:eastAsiaTheme="minorHAnsi" w:hAnsiTheme="minorHAnsi" w:cs="Times New Roman"/>
          <w:sz w:val="24"/>
          <w:szCs w:val="24"/>
        </w:rPr>
        <w:t xml:space="preserve">In addition, </w:t>
      </w:r>
      <w:proofErr w:type="gramStart"/>
      <w:r w:rsidRPr="001A14D2">
        <w:rPr>
          <w:rFonts w:asciiTheme="minorHAnsi" w:eastAsiaTheme="minorHAnsi" w:hAnsiTheme="minorHAnsi" w:cs="Times New Roman"/>
          <w:sz w:val="24"/>
          <w:szCs w:val="24"/>
        </w:rPr>
        <w:t>operations involving derivative financial instruments not traded on organized derivatives markets carries</w:t>
      </w:r>
      <w:proofErr w:type="gramEnd"/>
      <w:r w:rsidRPr="001A14D2">
        <w:rPr>
          <w:rFonts w:asciiTheme="minorHAnsi" w:eastAsiaTheme="minorHAnsi" w:hAnsiTheme="minorHAnsi" w:cs="Times New Roman"/>
          <w:sz w:val="24"/>
          <w:szCs w:val="24"/>
        </w:rPr>
        <w:t xml:space="preserve"> risks. Further, as the counterparty defaults, given the absence of a clearing house that stands between parts and ensure the success of the operations.</w:t>
      </w:r>
    </w:p>
    <w:p w14:paraId="776FAB6B" w14:textId="77777777" w:rsidR="0035756F" w:rsidRPr="001A14D2" w:rsidRDefault="0035756F" w:rsidP="0035756F">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The composition of the portfolio can be found in the periodic </w:t>
      </w:r>
      <w:proofErr w:type="gramStart"/>
      <w:r w:rsidRPr="001A14D2">
        <w:rPr>
          <w:rFonts w:asciiTheme="minorHAnsi" w:eastAsiaTheme="minorHAnsi" w:hAnsiTheme="minorHAnsi" w:cs="Times New Roman"/>
          <w:sz w:val="24"/>
          <w:szCs w:val="24"/>
        </w:rPr>
        <w:t>reports .</w:t>
      </w:r>
      <w:proofErr w:type="gramEnd"/>
    </w:p>
    <w:p w14:paraId="12101F29" w14:textId="77777777" w:rsidR="0035756F" w:rsidRPr="001A14D2" w:rsidRDefault="0035756F" w:rsidP="0035756F">
      <w:pPr>
        <w:pStyle w:val="HTMLPreformatted"/>
        <w:jc w:val="both"/>
        <w:rPr>
          <w:rFonts w:asciiTheme="minorHAnsi" w:eastAsiaTheme="minorHAnsi" w:hAnsiTheme="minorHAnsi" w:cs="Times New Roman"/>
          <w:sz w:val="24"/>
          <w:szCs w:val="24"/>
        </w:rPr>
      </w:pPr>
    </w:p>
    <w:p w14:paraId="0F8821F8" w14:textId="77777777" w:rsidR="0035756F" w:rsidRPr="001A14D2" w:rsidRDefault="0035756F" w:rsidP="0035756F">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 xml:space="preserve">INFORMATION ON CONTRACTS </w:t>
      </w:r>
      <w:proofErr w:type="gramStart"/>
      <w:r w:rsidRPr="001A14D2">
        <w:rPr>
          <w:rFonts w:asciiTheme="minorHAnsi" w:eastAsiaTheme="minorHAnsi" w:hAnsiTheme="minorHAnsi" w:cs="Times New Roman"/>
          <w:b/>
          <w:sz w:val="24"/>
          <w:szCs w:val="24"/>
        </w:rPr>
        <w:t>The</w:t>
      </w:r>
      <w:proofErr w:type="gramEnd"/>
      <w:r w:rsidRPr="001A14D2">
        <w:rPr>
          <w:rFonts w:asciiTheme="minorHAnsi" w:eastAsiaTheme="minorHAnsi" w:hAnsiTheme="minorHAnsi" w:cs="Times New Roman"/>
          <w:b/>
          <w:sz w:val="24"/>
          <w:szCs w:val="24"/>
        </w:rPr>
        <w:t xml:space="preserve"> Sub</w:t>
      </w:r>
    </w:p>
    <w:p w14:paraId="748BD1CD" w14:textId="77777777" w:rsidR="0035756F" w:rsidRPr="001A14D2" w:rsidRDefault="0035756F" w:rsidP="0035756F">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b/>
          <w:sz w:val="24"/>
          <w:szCs w:val="24"/>
        </w:rPr>
        <w:t>Sub- :</w:t>
      </w:r>
      <w:r w:rsidRPr="001A14D2">
        <w:rPr>
          <w:rFonts w:asciiTheme="minorHAnsi" w:eastAsiaTheme="minorHAnsi" w:hAnsiTheme="minorHAnsi" w:cs="Times New Roman"/>
          <w:sz w:val="24"/>
          <w:szCs w:val="24"/>
        </w:rPr>
        <w:t xml:space="preserve"> FCS ASSET MANAGEMENT LIMITED</w:t>
      </w:r>
    </w:p>
    <w:p w14:paraId="32FC93D8" w14:textId="77777777" w:rsidR="0035756F" w:rsidRPr="001A14D2" w:rsidRDefault="0035756F" w:rsidP="0035756F">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A contract for asset management concluded with FCS ASSET MANAGEMENT LIMITED, based in Malta and subject entity to prudential supervision by the competent authority.</w:t>
      </w:r>
    </w:p>
    <w:p w14:paraId="1EC08E60" w14:textId="77777777" w:rsidR="0065597B" w:rsidRPr="001A14D2" w:rsidRDefault="0035756F" w:rsidP="0035756F">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The Management Company of the fund that has signed the contract </w:t>
      </w:r>
      <w:proofErr w:type="gramStart"/>
      <w:r w:rsidRPr="001A14D2">
        <w:rPr>
          <w:rFonts w:asciiTheme="minorHAnsi" w:eastAsiaTheme="minorHAnsi" w:hAnsiTheme="minorHAnsi" w:cs="Times New Roman"/>
          <w:sz w:val="24"/>
          <w:szCs w:val="24"/>
        </w:rPr>
        <w:t>liable ,</w:t>
      </w:r>
      <w:proofErr w:type="gramEnd"/>
      <w:r w:rsidRPr="001A14D2">
        <w:rPr>
          <w:rFonts w:asciiTheme="minorHAnsi" w:eastAsiaTheme="minorHAnsi" w:hAnsiTheme="minorHAnsi" w:cs="Times New Roman"/>
          <w:sz w:val="24"/>
          <w:szCs w:val="24"/>
        </w:rPr>
        <w:t xml:space="preserve"> in any case , compliance with the force and the duties derived from it on the merits, its shareholders and Management Authorities Spanish law, responding to the breaches that may result from the performance of FCS ASSET MANAGEMENT LIMITED</w:t>
      </w:r>
    </w:p>
    <w:p w14:paraId="5C22C899" w14:textId="77777777" w:rsidR="0035756F" w:rsidRPr="001A14D2" w:rsidRDefault="0035756F">
      <w:pPr>
        <w:rPr>
          <w:rFonts w:cs="Times New Roman"/>
          <w:sz w:val="24"/>
          <w:szCs w:val="24"/>
        </w:rPr>
      </w:pPr>
    </w:p>
    <w:p w14:paraId="3D76799D" w14:textId="77777777" w:rsidR="0035756F" w:rsidRPr="001A14D2" w:rsidRDefault="0035756F" w:rsidP="0035756F">
      <w:pPr>
        <w:rPr>
          <w:rFonts w:cs="Times New Roman"/>
          <w:b/>
          <w:sz w:val="24"/>
          <w:szCs w:val="24"/>
        </w:rPr>
      </w:pPr>
      <w:r w:rsidRPr="001A14D2">
        <w:rPr>
          <w:rFonts w:cs="Times New Roman"/>
          <w:b/>
          <w:sz w:val="24"/>
          <w:szCs w:val="24"/>
        </w:rPr>
        <w:t>INFORMATION ON SUBSCRIPTION AND REDEMPTION PROCEDURE</w:t>
      </w:r>
    </w:p>
    <w:p w14:paraId="05244252" w14:textId="77777777" w:rsidR="0035756F" w:rsidRPr="001A14D2" w:rsidRDefault="0035756F" w:rsidP="0035756F">
      <w:pPr>
        <w:rPr>
          <w:rFonts w:cs="Times New Roman"/>
          <w:sz w:val="24"/>
          <w:szCs w:val="24"/>
        </w:rPr>
      </w:pPr>
      <w:r w:rsidRPr="001A14D2">
        <w:rPr>
          <w:rFonts w:cs="Times New Roman"/>
          <w:sz w:val="24"/>
          <w:szCs w:val="24"/>
          <w:u w:val="single"/>
        </w:rPr>
        <w:t>Frequency of NAV calculation:</w:t>
      </w:r>
      <w:r w:rsidRPr="001A14D2">
        <w:rPr>
          <w:rFonts w:cs="Times New Roman"/>
          <w:sz w:val="24"/>
          <w:szCs w:val="24"/>
        </w:rPr>
        <w:t xml:space="preserve"> Daily.</w:t>
      </w:r>
    </w:p>
    <w:p w14:paraId="5B1105CD" w14:textId="77777777" w:rsidR="0035756F" w:rsidRPr="001A14D2" w:rsidRDefault="0035756F" w:rsidP="0035756F">
      <w:pPr>
        <w:rPr>
          <w:rFonts w:cs="Times New Roman"/>
          <w:sz w:val="24"/>
          <w:szCs w:val="24"/>
        </w:rPr>
      </w:pPr>
      <w:r w:rsidRPr="001A14D2">
        <w:rPr>
          <w:rFonts w:cs="Times New Roman"/>
          <w:sz w:val="24"/>
          <w:szCs w:val="24"/>
          <w:u w:val="single"/>
        </w:rPr>
        <w:t xml:space="preserve">Net asset value applicable: </w:t>
      </w:r>
      <w:r w:rsidRPr="001A14D2">
        <w:rPr>
          <w:rFonts w:cs="Times New Roman"/>
          <w:sz w:val="24"/>
          <w:szCs w:val="24"/>
        </w:rPr>
        <w:t>The same day of the application date.</w:t>
      </w:r>
    </w:p>
    <w:p w14:paraId="37186449" w14:textId="77777777" w:rsidR="005A43BE" w:rsidRPr="001A14D2" w:rsidRDefault="0035756F" w:rsidP="0035756F">
      <w:pPr>
        <w:rPr>
          <w:rFonts w:cs="Times New Roman"/>
          <w:sz w:val="24"/>
          <w:szCs w:val="24"/>
        </w:rPr>
      </w:pPr>
      <w:r w:rsidRPr="001A14D2">
        <w:rPr>
          <w:rFonts w:cs="Times New Roman"/>
          <w:sz w:val="24"/>
          <w:szCs w:val="24"/>
          <w:u w:val="single"/>
        </w:rPr>
        <w:t>Place of publication of the net asset value:</w:t>
      </w:r>
      <w:r w:rsidRPr="001A14D2">
        <w:rPr>
          <w:rFonts w:cs="Times New Roman"/>
          <w:sz w:val="24"/>
          <w:szCs w:val="24"/>
        </w:rPr>
        <w:t xml:space="preserve"> Bulletin quote the Madrid Stock Exchange and on the web</w:t>
      </w:r>
      <w:r w:rsidR="00A669D4" w:rsidRPr="001A14D2">
        <w:rPr>
          <w:rFonts w:cs="Times New Roman"/>
          <w:sz w:val="24"/>
          <w:szCs w:val="24"/>
        </w:rPr>
        <w:t xml:space="preserve">site of the Management Company. </w:t>
      </w:r>
    </w:p>
    <w:p w14:paraId="3DCC240E" w14:textId="77777777" w:rsidR="00A669D4" w:rsidRPr="001A14D2" w:rsidRDefault="0035756F" w:rsidP="0035756F">
      <w:pPr>
        <w:rPr>
          <w:rFonts w:cs="Times New Roman"/>
          <w:sz w:val="24"/>
          <w:szCs w:val="24"/>
        </w:rPr>
      </w:pPr>
      <w:proofErr w:type="gramStart"/>
      <w:r w:rsidRPr="001A14D2">
        <w:rPr>
          <w:rFonts w:cs="Times New Roman"/>
          <w:sz w:val="24"/>
          <w:szCs w:val="24"/>
          <w:u w:val="single"/>
        </w:rPr>
        <w:t>Processing of subscription and redemption orders:</w:t>
      </w:r>
      <w:r w:rsidRPr="001A14D2">
        <w:rPr>
          <w:rFonts w:cs="Times New Roman"/>
          <w:sz w:val="24"/>
          <w:szCs w:val="24"/>
        </w:rPr>
        <w:t xml:space="preserve"> Orders submitted by in</w:t>
      </w:r>
      <w:r w:rsidR="00A669D4" w:rsidRPr="001A14D2">
        <w:rPr>
          <w:rFonts w:cs="Times New Roman"/>
          <w:sz w:val="24"/>
          <w:szCs w:val="24"/>
        </w:rPr>
        <w:t xml:space="preserve">vestors after 16:00 or on a day </w:t>
      </w:r>
      <w:r w:rsidRPr="001A14D2">
        <w:rPr>
          <w:rFonts w:cs="Times New Roman"/>
          <w:sz w:val="24"/>
          <w:szCs w:val="24"/>
        </w:rPr>
        <w:t>non-business day will be operated together with the ones submitted the following business day.</w:t>
      </w:r>
      <w:proofErr w:type="gramEnd"/>
      <w:r w:rsidRPr="001A14D2">
        <w:rPr>
          <w:rFonts w:cs="Times New Roman"/>
          <w:sz w:val="24"/>
          <w:szCs w:val="24"/>
        </w:rPr>
        <w:t xml:space="preserve"> </w:t>
      </w:r>
      <w:proofErr w:type="gramStart"/>
      <w:r w:rsidRPr="001A14D2">
        <w:rPr>
          <w:rFonts w:cs="Times New Roman"/>
          <w:sz w:val="24"/>
          <w:szCs w:val="24"/>
        </w:rPr>
        <w:t>For this purpose, the term busine</w:t>
      </w:r>
      <w:r w:rsidR="00A669D4" w:rsidRPr="001A14D2">
        <w:rPr>
          <w:rFonts w:cs="Times New Roman"/>
          <w:sz w:val="24"/>
          <w:szCs w:val="24"/>
        </w:rPr>
        <w:t xml:space="preserve">ss day every day from Monday to </w:t>
      </w:r>
      <w:r w:rsidRPr="001A14D2">
        <w:rPr>
          <w:rFonts w:cs="Times New Roman"/>
          <w:sz w:val="24"/>
          <w:szCs w:val="24"/>
        </w:rPr>
        <w:t>Friday excluding holidays in Spain.</w:t>
      </w:r>
      <w:proofErr w:type="gramEnd"/>
      <w:r w:rsidRPr="001A14D2">
        <w:rPr>
          <w:rFonts w:cs="Times New Roman"/>
          <w:sz w:val="24"/>
          <w:szCs w:val="24"/>
        </w:rPr>
        <w:t xml:space="preserve"> They are not considered business days those in which there is no market for</w:t>
      </w:r>
      <w:r w:rsidR="00A669D4" w:rsidRPr="001A14D2">
        <w:rPr>
          <w:rFonts w:cs="Times New Roman"/>
          <w:sz w:val="24"/>
          <w:szCs w:val="24"/>
        </w:rPr>
        <w:t xml:space="preserve"> assets </w:t>
      </w:r>
      <w:r w:rsidRPr="001A14D2">
        <w:rPr>
          <w:rFonts w:cs="Times New Roman"/>
          <w:sz w:val="24"/>
          <w:szCs w:val="24"/>
        </w:rPr>
        <w:t xml:space="preserve">represent more than 5% of assets. Traders may fix cutting hours earlier or </w:t>
      </w:r>
      <w:r w:rsidRPr="001A14D2">
        <w:rPr>
          <w:rFonts w:cs="Times New Roman"/>
          <w:sz w:val="24"/>
          <w:szCs w:val="24"/>
        </w:rPr>
        <w:lastRenderedPageBreak/>
        <w:t>dif</w:t>
      </w:r>
      <w:r w:rsidR="00A669D4" w:rsidRPr="001A14D2">
        <w:rPr>
          <w:rFonts w:cs="Times New Roman"/>
          <w:sz w:val="24"/>
          <w:szCs w:val="24"/>
        </w:rPr>
        <w:t xml:space="preserve">ferent to that established with </w:t>
      </w:r>
      <w:r w:rsidRPr="001A14D2">
        <w:rPr>
          <w:rFonts w:cs="Times New Roman"/>
          <w:sz w:val="24"/>
          <w:szCs w:val="24"/>
        </w:rPr>
        <w:t>general by the Management Company, the participant must be inf</w:t>
      </w:r>
      <w:r w:rsidR="00A669D4" w:rsidRPr="001A14D2">
        <w:rPr>
          <w:rFonts w:cs="Times New Roman"/>
          <w:sz w:val="24"/>
          <w:szCs w:val="24"/>
        </w:rPr>
        <w:t>ormed about it by the marketer.</w:t>
      </w:r>
    </w:p>
    <w:p w14:paraId="5B8FF743" w14:textId="77777777" w:rsidR="00A669D4" w:rsidRPr="001A14D2" w:rsidRDefault="0035756F" w:rsidP="00A669D4">
      <w:pPr>
        <w:rPr>
          <w:rFonts w:cs="Times New Roman"/>
          <w:sz w:val="24"/>
          <w:szCs w:val="24"/>
        </w:rPr>
      </w:pPr>
      <w:r w:rsidRPr="001A14D2">
        <w:rPr>
          <w:rFonts w:cs="Times New Roman"/>
          <w:sz w:val="24"/>
          <w:szCs w:val="24"/>
        </w:rPr>
        <w:t>The Management Company will require 10 days' notice for higher reimbursements to 300,0</w:t>
      </w:r>
      <w:r w:rsidR="00A669D4" w:rsidRPr="001A14D2">
        <w:rPr>
          <w:rFonts w:cs="Times New Roman"/>
          <w:sz w:val="24"/>
          <w:szCs w:val="24"/>
        </w:rPr>
        <w:t xml:space="preserve">00.00 euros. Also, when the sum </w:t>
      </w:r>
      <w:r w:rsidRPr="001A14D2">
        <w:rPr>
          <w:rFonts w:cs="Times New Roman"/>
          <w:sz w:val="24"/>
          <w:szCs w:val="24"/>
        </w:rPr>
        <w:t>total amount refunded to the same holder, within a period of 10 days is equal to or greater than 300,0</w:t>
      </w:r>
      <w:r w:rsidR="00A669D4" w:rsidRPr="001A14D2">
        <w:rPr>
          <w:rFonts w:cs="Times New Roman"/>
          <w:sz w:val="24"/>
          <w:szCs w:val="24"/>
        </w:rPr>
        <w:t xml:space="preserve">00.00 euros require the Manager </w:t>
      </w:r>
      <w:r w:rsidRPr="001A14D2">
        <w:rPr>
          <w:rFonts w:cs="Times New Roman"/>
          <w:sz w:val="24"/>
          <w:szCs w:val="24"/>
        </w:rPr>
        <w:t>for new refund requests that are made within ten days of the last r</w:t>
      </w:r>
      <w:r w:rsidR="00A669D4" w:rsidRPr="001A14D2">
        <w:rPr>
          <w:rFonts w:cs="Times New Roman"/>
          <w:sz w:val="24"/>
          <w:szCs w:val="24"/>
        </w:rPr>
        <w:t xml:space="preserve">eimbursement requested whatever </w:t>
      </w:r>
      <w:r w:rsidRPr="001A14D2">
        <w:rPr>
          <w:rFonts w:cs="Times New Roman"/>
          <w:sz w:val="24"/>
          <w:szCs w:val="24"/>
        </w:rPr>
        <w:t xml:space="preserve">amount, 10 </w:t>
      </w:r>
      <w:proofErr w:type="spellStart"/>
      <w:r w:rsidRPr="001A14D2">
        <w:rPr>
          <w:rFonts w:cs="Times New Roman"/>
          <w:sz w:val="24"/>
          <w:szCs w:val="24"/>
        </w:rPr>
        <w:t>days notice</w:t>
      </w:r>
      <w:proofErr w:type="spellEnd"/>
      <w:r w:rsidRPr="001A14D2">
        <w:rPr>
          <w:rFonts w:cs="Times New Roman"/>
          <w:sz w:val="24"/>
          <w:szCs w:val="24"/>
        </w:rPr>
        <w:t>. To determine the calculation of the figures provided in this paragrap</w:t>
      </w:r>
      <w:r w:rsidR="00A669D4" w:rsidRPr="001A14D2">
        <w:rPr>
          <w:rFonts w:cs="Times New Roman"/>
          <w:sz w:val="24"/>
          <w:szCs w:val="24"/>
        </w:rPr>
        <w:t xml:space="preserve">h, the total will be considered </w:t>
      </w:r>
      <w:r w:rsidRPr="001A14D2">
        <w:rPr>
          <w:rFonts w:cs="Times New Roman"/>
          <w:sz w:val="24"/>
          <w:szCs w:val="24"/>
        </w:rPr>
        <w:t>reimbursements ordered by the same agent. Requests for reimbursement of any participa</w:t>
      </w:r>
      <w:r w:rsidR="00A669D4" w:rsidRPr="001A14D2">
        <w:rPr>
          <w:rFonts w:cs="Times New Roman"/>
          <w:sz w:val="24"/>
          <w:szCs w:val="24"/>
        </w:rPr>
        <w:t xml:space="preserve">nt will be settled as any other </w:t>
      </w:r>
      <w:r w:rsidRPr="001A14D2">
        <w:rPr>
          <w:rFonts w:cs="Times New Roman"/>
          <w:sz w:val="24"/>
          <w:szCs w:val="24"/>
        </w:rPr>
        <w:t>request the day, if there is liquidity, and if not there is sufficient liquidity to meet redemption, liquidity is created</w:t>
      </w:r>
      <w:r w:rsidR="00A669D4" w:rsidRPr="001A14D2">
        <w:rPr>
          <w:rFonts w:cs="Times New Roman"/>
          <w:sz w:val="24"/>
          <w:szCs w:val="24"/>
        </w:rPr>
        <w:t xml:space="preserve"> </w:t>
      </w:r>
      <w:proofErr w:type="gramStart"/>
      <w:r w:rsidR="00A669D4" w:rsidRPr="001A14D2">
        <w:rPr>
          <w:rFonts w:cs="Times New Roman"/>
          <w:sz w:val="24"/>
          <w:szCs w:val="24"/>
        </w:rPr>
        <w:t>necessary ,</w:t>
      </w:r>
      <w:proofErr w:type="gramEnd"/>
      <w:r w:rsidR="00A669D4" w:rsidRPr="001A14D2">
        <w:rPr>
          <w:rFonts w:cs="Times New Roman"/>
          <w:sz w:val="24"/>
          <w:szCs w:val="24"/>
        </w:rPr>
        <w:t xml:space="preserve"> without waiting for the maximum period of 10 days. In this </w:t>
      </w:r>
      <w:proofErr w:type="gramStart"/>
      <w:r w:rsidR="00A669D4" w:rsidRPr="001A14D2">
        <w:rPr>
          <w:rFonts w:cs="Times New Roman"/>
          <w:sz w:val="24"/>
          <w:szCs w:val="24"/>
        </w:rPr>
        <w:t>case ,</w:t>
      </w:r>
      <w:proofErr w:type="gramEnd"/>
      <w:r w:rsidR="00A669D4" w:rsidRPr="001A14D2">
        <w:rPr>
          <w:rFonts w:cs="Times New Roman"/>
          <w:sz w:val="24"/>
          <w:szCs w:val="24"/>
        </w:rPr>
        <w:t xml:space="preserve"> the net asset value applicable to these refunds shall be the corresponds to day operations that have been measured the results of asset sales needed for the background for liquidity to meet its payment.</w:t>
      </w:r>
    </w:p>
    <w:p w14:paraId="3D0DBECD" w14:textId="77777777" w:rsidR="00A669D4" w:rsidRPr="001A14D2" w:rsidRDefault="00A669D4" w:rsidP="00A669D4">
      <w:pPr>
        <w:rPr>
          <w:rFonts w:cs="Times New Roman"/>
          <w:sz w:val="24"/>
          <w:szCs w:val="24"/>
        </w:rPr>
      </w:pPr>
      <w:r w:rsidRPr="001A14D2">
        <w:rPr>
          <w:rFonts w:cs="Times New Roman"/>
          <w:sz w:val="24"/>
          <w:szCs w:val="24"/>
        </w:rPr>
        <w:t xml:space="preserve">Payment of the redemption of units will be made by the Depositary no later than three business days from the date of value NAV applicable to the application. </w:t>
      </w:r>
      <w:proofErr w:type="gramStart"/>
      <w:r w:rsidRPr="001A14D2">
        <w:rPr>
          <w:rFonts w:cs="Times New Roman"/>
          <w:sz w:val="24"/>
          <w:szCs w:val="24"/>
        </w:rPr>
        <w:t>Exceptionally ,</w:t>
      </w:r>
      <w:proofErr w:type="gramEnd"/>
      <w:r w:rsidRPr="001A14D2">
        <w:rPr>
          <w:rFonts w:cs="Times New Roman"/>
          <w:sz w:val="24"/>
          <w:szCs w:val="24"/>
        </w:rPr>
        <w:t xml:space="preserve"> this period may be extended to five business days when the specialties of the investments that exceed five percent of equity so require .</w:t>
      </w:r>
    </w:p>
    <w:p w14:paraId="535D82CE" w14:textId="77777777" w:rsidR="00A669D4" w:rsidRPr="001A14D2" w:rsidRDefault="00A669D4" w:rsidP="00A669D4">
      <w:pPr>
        <w:rPr>
          <w:rFonts w:cs="Times New Roman"/>
          <w:sz w:val="24"/>
          <w:szCs w:val="24"/>
        </w:rPr>
      </w:pPr>
      <w:r w:rsidRPr="001A14D2">
        <w:rPr>
          <w:rFonts w:cs="Times New Roman"/>
          <w:sz w:val="24"/>
          <w:szCs w:val="24"/>
        </w:rPr>
        <w:t>In the event the participant transfers should take into account the specialties of his regime regarding subscriptions and refunds.</w:t>
      </w:r>
    </w:p>
    <w:p w14:paraId="45700BDA" w14:textId="77777777" w:rsidR="00A669D4" w:rsidRPr="001A14D2" w:rsidRDefault="00A669D4" w:rsidP="00A669D4">
      <w:pPr>
        <w:rPr>
          <w:rFonts w:cs="Times New Roman"/>
          <w:b/>
          <w:sz w:val="24"/>
          <w:szCs w:val="24"/>
        </w:rPr>
      </w:pPr>
      <w:r w:rsidRPr="001A14D2">
        <w:rPr>
          <w:rFonts w:cs="Times New Roman"/>
          <w:b/>
          <w:sz w:val="24"/>
          <w:szCs w:val="24"/>
        </w:rPr>
        <w:t>COMMERCIAL INFORMATION</w:t>
      </w:r>
    </w:p>
    <w:p w14:paraId="76837D10" w14:textId="77777777" w:rsidR="00A669D4" w:rsidRPr="001A14D2" w:rsidRDefault="00A669D4" w:rsidP="00A669D4">
      <w:pPr>
        <w:spacing w:after="0"/>
        <w:rPr>
          <w:rFonts w:cs="Times New Roman"/>
          <w:sz w:val="24"/>
          <w:szCs w:val="24"/>
        </w:rPr>
      </w:pPr>
      <w:r w:rsidRPr="001A14D2">
        <w:rPr>
          <w:rFonts w:cs="Times New Roman"/>
          <w:sz w:val="24"/>
          <w:szCs w:val="24"/>
          <w:u w:val="single"/>
        </w:rPr>
        <w:t xml:space="preserve">Currency denomination of the </w:t>
      </w:r>
      <w:proofErr w:type="gramStart"/>
      <w:r w:rsidRPr="001A14D2">
        <w:rPr>
          <w:rFonts w:cs="Times New Roman"/>
          <w:sz w:val="24"/>
          <w:szCs w:val="24"/>
          <w:u w:val="single"/>
        </w:rPr>
        <w:t>shares :</w:t>
      </w:r>
      <w:proofErr w:type="gramEnd"/>
      <w:r w:rsidRPr="001A14D2">
        <w:rPr>
          <w:rFonts w:cs="Times New Roman"/>
          <w:sz w:val="24"/>
          <w:szCs w:val="24"/>
        </w:rPr>
        <w:t xml:space="preserve"> Euros.</w:t>
      </w:r>
    </w:p>
    <w:p w14:paraId="2D61CAF8" w14:textId="77777777" w:rsidR="00A669D4" w:rsidRPr="001A14D2" w:rsidRDefault="00A669D4" w:rsidP="00A669D4">
      <w:pPr>
        <w:spacing w:after="0"/>
        <w:rPr>
          <w:rFonts w:cs="Times New Roman"/>
          <w:sz w:val="24"/>
          <w:szCs w:val="24"/>
        </w:rPr>
      </w:pPr>
      <w:r w:rsidRPr="001A14D2">
        <w:rPr>
          <w:rFonts w:cs="Times New Roman"/>
          <w:sz w:val="24"/>
          <w:szCs w:val="24"/>
          <w:u w:val="single"/>
        </w:rPr>
        <w:t xml:space="preserve">Minimum initial </w:t>
      </w:r>
      <w:proofErr w:type="gramStart"/>
      <w:r w:rsidRPr="001A14D2">
        <w:rPr>
          <w:rFonts w:cs="Times New Roman"/>
          <w:sz w:val="24"/>
          <w:szCs w:val="24"/>
          <w:u w:val="single"/>
        </w:rPr>
        <w:t>investment</w:t>
      </w:r>
      <w:r w:rsidRPr="001A14D2">
        <w:rPr>
          <w:rFonts w:cs="Times New Roman"/>
          <w:sz w:val="24"/>
          <w:szCs w:val="24"/>
        </w:rPr>
        <w:t xml:space="preserve"> :</w:t>
      </w:r>
      <w:proofErr w:type="gramEnd"/>
      <w:r w:rsidRPr="001A14D2">
        <w:rPr>
          <w:rFonts w:cs="Times New Roman"/>
          <w:sz w:val="24"/>
          <w:szCs w:val="24"/>
        </w:rPr>
        <w:t xml:space="preserve"> 10 euros .</w:t>
      </w:r>
    </w:p>
    <w:p w14:paraId="1BB46530" w14:textId="77777777" w:rsidR="00A669D4" w:rsidRPr="001A14D2" w:rsidRDefault="00A669D4" w:rsidP="00A669D4">
      <w:pPr>
        <w:spacing w:after="0"/>
        <w:rPr>
          <w:rFonts w:cs="Times New Roman"/>
          <w:sz w:val="24"/>
          <w:szCs w:val="24"/>
        </w:rPr>
      </w:pPr>
      <w:r w:rsidRPr="001A14D2">
        <w:rPr>
          <w:rFonts w:cs="Times New Roman"/>
          <w:sz w:val="24"/>
          <w:szCs w:val="24"/>
          <w:u w:val="single"/>
        </w:rPr>
        <w:t xml:space="preserve">Top </w:t>
      </w:r>
      <w:proofErr w:type="gramStart"/>
      <w:r w:rsidRPr="001A14D2">
        <w:rPr>
          <w:rFonts w:cs="Times New Roman"/>
          <w:sz w:val="24"/>
          <w:szCs w:val="24"/>
          <w:u w:val="single"/>
        </w:rPr>
        <w:t>traders :</w:t>
      </w:r>
      <w:proofErr w:type="gramEnd"/>
      <w:r w:rsidRPr="001A14D2">
        <w:rPr>
          <w:rFonts w:cs="Times New Roman"/>
          <w:sz w:val="24"/>
          <w:szCs w:val="24"/>
        </w:rPr>
        <w:t xml:space="preserve"> those legal companies with which it has signed marketing agreement. </w:t>
      </w:r>
      <w:proofErr w:type="gramStart"/>
      <w:r w:rsidRPr="001A14D2">
        <w:rPr>
          <w:rFonts w:cs="Times New Roman"/>
          <w:sz w:val="24"/>
          <w:szCs w:val="24"/>
        </w:rPr>
        <w:t>is</w:t>
      </w:r>
      <w:proofErr w:type="gramEnd"/>
    </w:p>
    <w:p w14:paraId="729A94C9" w14:textId="77777777" w:rsidR="00A669D4" w:rsidRPr="001A14D2" w:rsidRDefault="00A669D4" w:rsidP="00A669D4">
      <w:pPr>
        <w:spacing w:after="0"/>
        <w:rPr>
          <w:rFonts w:cs="Times New Roman"/>
          <w:sz w:val="24"/>
          <w:szCs w:val="24"/>
        </w:rPr>
      </w:pPr>
      <w:r w:rsidRPr="001A14D2">
        <w:rPr>
          <w:rFonts w:cs="Times New Roman"/>
          <w:sz w:val="24"/>
          <w:szCs w:val="24"/>
        </w:rPr>
        <w:t xml:space="preserve">It offers the possibility of subscriptions and redemptions via the </w:t>
      </w:r>
      <w:proofErr w:type="gramStart"/>
      <w:r w:rsidRPr="001A14D2">
        <w:rPr>
          <w:rFonts w:cs="Times New Roman"/>
          <w:sz w:val="24"/>
          <w:szCs w:val="24"/>
        </w:rPr>
        <w:t>Internet ,</w:t>
      </w:r>
      <w:proofErr w:type="gramEnd"/>
      <w:r w:rsidRPr="001A14D2">
        <w:rPr>
          <w:rFonts w:cs="Times New Roman"/>
          <w:sz w:val="24"/>
          <w:szCs w:val="24"/>
        </w:rPr>
        <w:t xml:space="preserve"> mail and telephone service </w:t>
      </w:r>
      <w:proofErr w:type="spellStart"/>
      <w:r w:rsidRPr="001A14D2">
        <w:rPr>
          <w:rFonts w:cs="Times New Roman"/>
          <w:sz w:val="24"/>
          <w:szCs w:val="24"/>
        </w:rPr>
        <w:t>Service</w:t>
      </w:r>
      <w:proofErr w:type="spellEnd"/>
      <w:r w:rsidRPr="001A14D2">
        <w:rPr>
          <w:rFonts w:cs="Times New Roman"/>
          <w:sz w:val="24"/>
          <w:szCs w:val="24"/>
        </w:rPr>
        <w:t xml:space="preserve"> those trading companies that have previously signed the corresponding contract. This fund is marketed by FCS Asset Management </w:t>
      </w:r>
      <w:proofErr w:type="gramStart"/>
      <w:r w:rsidRPr="001A14D2">
        <w:rPr>
          <w:rFonts w:cs="Times New Roman"/>
          <w:sz w:val="24"/>
          <w:szCs w:val="24"/>
        </w:rPr>
        <w:t>Limited ,</w:t>
      </w:r>
      <w:proofErr w:type="gramEnd"/>
      <w:r w:rsidRPr="001A14D2">
        <w:rPr>
          <w:rFonts w:cs="Times New Roman"/>
          <w:sz w:val="24"/>
          <w:szCs w:val="24"/>
        </w:rPr>
        <w:t xml:space="preserve"> Branch in Spain .</w:t>
      </w:r>
    </w:p>
    <w:p w14:paraId="2F4AE59F" w14:textId="77777777" w:rsidR="00A669D4" w:rsidRPr="001A14D2" w:rsidRDefault="00A669D4" w:rsidP="00A669D4">
      <w:pPr>
        <w:spacing w:after="0"/>
        <w:rPr>
          <w:rFonts w:cs="Times New Roman"/>
          <w:sz w:val="24"/>
          <w:szCs w:val="24"/>
        </w:rPr>
      </w:pPr>
    </w:p>
    <w:p w14:paraId="6757CF50" w14:textId="77777777" w:rsidR="00A669D4" w:rsidRPr="001A14D2" w:rsidRDefault="00A669D4" w:rsidP="00A669D4">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FEES AND EXPENSES</w:t>
      </w:r>
    </w:p>
    <w:p w14:paraId="2EB92600" w14:textId="77777777" w:rsidR="00A669D4" w:rsidRPr="001A14D2" w:rsidRDefault="00A669D4" w:rsidP="00A669D4">
      <w:pPr>
        <w:jc w:val="both"/>
        <w:rPr>
          <w:rFonts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A669D4" w:rsidRPr="001A14D2" w14:paraId="2FA29485" w14:textId="77777777" w:rsidTr="008E31E6">
        <w:tc>
          <w:tcPr>
            <w:tcW w:w="2394" w:type="dxa"/>
          </w:tcPr>
          <w:p w14:paraId="0FF3A419" w14:textId="77777777" w:rsidR="00A669D4" w:rsidRPr="001A14D2" w:rsidRDefault="00A669D4" w:rsidP="008E31E6">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Applied commissions</w:t>
            </w:r>
          </w:p>
        </w:tc>
        <w:tc>
          <w:tcPr>
            <w:tcW w:w="2394" w:type="dxa"/>
          </w:tcPr>
          <w:p w14:paraId="10EAFB3F" w14:textId="77777777" w:rsidR="00A669D4" w:rsidRPr="001A14D2" w:rsidRDefault="00A669D4" w:rsidP="008E31E6">
            <w:pPr>
              <w:jc w:val="both"/>
              <w:rPr>
                <w:rFonts w:cs="Times New Roman"/>
                <w:b/>
                <w:sz w:val="24"/>
                <w:szCs w:val="24"/>
              </w:rPr>
            </w:pPr>
            <w:r w:rsidRPr="001A14D2">
              <w:rPr>
                <w:rFonts w:cs="Times New Roman"/>
                <w:b/>
                <w:sz w:val="24"/>
                <w:szCs w:val="24"/>
              </w:rPr>
              <w:t>Percentage</w:t>
            </w:r>
          </w:p>
        </w:tc>
        <w:tc>
          <w:tcPr>
            <w:tcW w:w="2394" w:type="dxa"/>
          </w:tcPr>
          <w:p w14:paraId="21B56127" w14:textId="77777777" w:rsidR="00A669D4" w:rsidRPr="001A14D2" w:rsidRDefault="00A669D4" w:rsidP="008E31E6">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Basis of calculation</w:t>
            </w:r>
          </w:p>
          <w:p w14:paraId="465CD0A9" w14:textId="77777777" w:rsidR="00A669D4" w:rsidRPr="001A14D2" w:rsidRDefault="00A669D4" w:rsidP="008E31E6">
            <w:pPr>
              <w:jc w:val="both"/>
              <w:rPr>
                <w:rFonts w:cs="Times New Roman"/>
                <w:b/>
                <w:sz w:val="24"/>
                <w:szCs w:val="24"/>
              </w:rPr>
            </w:pPr>
          </w:p>
        </w:tc>
        <w:tc>
          <w:tcPr>
            <w:tcW w:w="2394" w:type="dxa"/>
          </w:tcPr>
          <w:p w14:paraId="71BDC5C6" w14:textId="77777777" w:rsidR="00A669D4" w:rsidRPr="001A14D2" w:rsidRDefault="00A669D4" w:rsidP="008E31E6">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Dates / Periods</w:t>
            </w:r>
          </w:p>
          <w:p w14:paraId="185929BA" w14:textId="77777777" w:rsidR="00A669D4" w:rsidRPr="001A14D2" w:rsidRDefault="00A669D4" w:rsidP="008E31E6">
            <w:pPr>
              <w:jc w:val="both"/>
              <w:rPr>
                <w:rFonts w:cs="Times New Roman"/>
                <w:b/>
                <w:sz w:val="24"/>
                <w:szCs w:val="24"/>
              </w:rPr>
            </w:pPr>
          </w:p>
        </w:tc>
      </w:tr>
      <w:tr w:rsidR="00A669D4" w:rsidRPr="001A14D2" w14:paraId="62E1388F" w14:textId="77777777" w:rsidTr="008E31E6">
        <w:tc>
          <w:tcPr>
            <w:tcW w:w="2394" w:type="dxa"/>
          </w:tcPr>
          <w:p w14:paraId="0B2884E4" w14:textId="77777777" w:rsidR="00A669D4" w:rsidRPr="001A14D2" w:rsidRDefault="00A669D4"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Management fees </w:t>
            </w:r>
            <w:r w:rsidRPr="001A14D2">
              <w:rPr>
                <w:rFonts w:asciiTheme="minorHAnsi" w:eastAsiaTheme="minorHAnsi" w:hAnsiTheme="minorHAnsi" w:cs="Times New Roman"/>
                <w:sz w:val="24"/>
                <w:szCs w:val="24"/>
              </w:rPr>
              <w:lastRenderedPageBreak/>
              <w:t>(annual )</w:t>
            </w:r>
          </w:p>
        </w:tc>
        <w:tc>
          <w:tcPr>
            <w:tcW w:w="2394" w:type="dxa"/>
          </w:tcPr>
          <w:p w14:paraId="2C7ED8C0" w14:textId="77777777" w:rsidR="00A669D4" w:rsidRPr="001A14D2" w:rsidRDefault="00A669D4" w:rsidP="008E31E6">
            <w:pPr>
              <w:jc w:val="both"/>
              <w:rPr>
                <w:rFonts w:cs="Times New Roman"/>
                <w:sz w:val="24"/>
                <w:szCs w:val="24"/>
              </w:rPr>
            </w:pPr>
          </w:p>
        </w:tc>
        <w:tc>
          <w:tcPr>
            <w:tcW w:w="2394" w:type="dxa"/>
          </w:tcPr>
          <w:p w14:paraId="194E00E3" w14:textId="77777777" w:rsidR="00A669D4" w:rsidRPr="001A14D2" w:rsidRDefault="00A669D4" w:rsidP="008E31E6">
            <w:pPr>
              <w:jc w:val="both"/>
              <w:rPr>
                <w:rFonts w:cs="Times New Roman"/>
                <w:sz w:val="24"/>
                <w:szCs w:val="24"/>
              </w:rPr>
            </w:pPr>
          </w:p>
        </w:tc>
        <w:tc>
          <w:tcPr>
            <w:tcW w:w="2394" w:type="dxa"/>
          </w:tcPr>
          <w:p w14:paraId="6084D4B6" w14:textId="77777777" w:rsidR="00A669D4" w:rsidRPr="001A14D2" w:rsidRDefault="00A669D4" w:rsidP="008E31E6">
            <w:pPr>
              <w:jc w:val="both"/>
              <w:rPr>
                <w:rFonts w:cs="Times New Roman"/>
                <w:sz w:val="24"/>
                <w:szCs w:val="24"/>
              </w:rPr>
            </w:pPr>
          </w:p>
        </w:tc>
      </w:tr>
      <w:tr w:rsidR="00A669D4" w:rsidRPr="001A14D2" w14:paraId="29920A18" w14:textId="77777777" w:rsidTr="008E31E6">
        <w:tc>
          <w:tcPr>
            <w:tcW w:w="2394" w:type="dxa"/>
            <w:vMerge w:val="restart"/>
          </w:tcPr>
          <w:p w14:paraId="7543BC1C" w14:textId="77777777" w:rsidR="00A669D4" w:rsidRPr="001A14D2" w:rsidRDefault="00A669D4"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lastRenderedPageBreak/>
              <w:t>Applied directly to the fund</w:t>
            </w:r>
          </w:p>
        </w:tc>
        <w:tc>
          <w:tcPr>
            <w:tcW w:w="2394" w:type="dxa"/>
          </w:tcPr>
          <w:p w14:paraId="4294692B" w14:textId="77777777" w:rsidR="00A669D4" w:rsidRPr="001A14D2" w:rsidRDefault="00A669D4" w:rsidP="008E31E6">
            <w:pPr>
              <w:jc w:val="both"/>
              <w:rPr>
                <w:rFonts w:cs="Times New Roman"/>
                <w:sz w:val="24"/>
                <w:szCs w:val="24"/>
              </w:rPr>
            </w:pPr>
            <w:r w:rsidRPr="001A14D2">
              <w:rPr>
                <w:rFonts w:cs="Times New Roman"/>
                <w:sz w:val="24"/>
                <w:szCs w:val="24"/>
              </w:rPr>
              <w:t>1.35%</w:t>
            </w:r>
          </w:p>
        </w:tc>
        <w:tc>
          <w:tcPr>
            <w:tcW w:w="2394" w:type="dxa"/>
          </w:tcPr>
          <w:p w14:paraId="52937F25" w14:textId="77777777" w:rsidR="00A669D4" w:rsidRPr="001A14D2" w:rsidRDefault="00A669D4" w:rsidP="008E31E6">
            <w:pPr>
              <w:jc w:val="both"/>
              <w:rPr>
                <w:rFonts w:cs="Times New Roman"/>
                <w:sz w:val="24"/>
                <w:szCs w:val="24"/>
              </w:rPr>
            </w:pPr>
            <w:r w:rsidRPr="001A14D2">
              <w:rPr>
                <w:rFonts w:cs="Times New Roman"/>
                <w:sz w:val="24"/>
                <w:szCs w:val="24"/>
              </w:rPr>
              <w:t>Heritage</w:t>
            </w:r>
          </w:p>
        </w:tc>
        <w:tc>
          <w:tcPr>
            <w:tcW w:w="2394" w:type="dxa"/>
          </w:tcPr>
          <w:p w14:paraId="7F819730" w14:textId="77777777" w:rsidR="00A669D4" w:rsidRPr="001A14D2" w:rsidRDefault="00A669D4" w:rsidP="008E31E6">
            <w:pPr>
              <w:jc w:val="both"/>
              <w:rPr>
                <w:rFonts w:cs="Times New Roman"/>
                <w:sz w:val="24"/>
                <w:szCs w:val="24"/>
              </w:rPr>
            </w:pPr>
          </w:p>
        </w:tc>
      </w:tr>
      <w:tr w:rsidR="00A669D4" w:rsidRPr="001A14D2" w14:paraId="3F5E0D62" w14:textId="77777777" w:rsidTr="008E31E6">
        <w:tc>
          <w:tcPr>
            <w:tcW w:w="2394" w:type="dxa"/>
            <w:vMerge/>
          </w:tcPr>
          <w:p w14:paraId="629A05B8" w14:textId="77777777" w:rsidR="00A669D4" w:rsidRPr="001A14D2" w:rsidRDefault="00A669D4" w:rsidP="00A669D4">
            <w:pPr>
              <w:pStyle w:val="HTMLPreformatted"/>
              <w:jc w:val="both"/>
              <w:rPr>
                <w:rFonts w:asciiTheme="minorHAnsi" w:eastAsiaTheme="minorHAnsi" w:hAnsiTheme="minorHAnsi" w:cs="Times New Roman"/>
                <w:sz w:val="24"/>
                <w:szCs w:val="24"/>
              </w:rPr>
            </w:pPr>
          </w:p>
        </w:tc>
        <w:tc>
          <w:tcPr>
            <w:tcW w:w="2394" w:type="dxa"/>
          </w:tcPr>
          <w:p w14:paraId="49DA5D3A" w14:textId="77777777" w:rsidR="00A669D4" w:rsidRPr="001A14D2" w:rsidRDefault="00A669D4" w:rsidP="008E31E6">
            <w:pPr>
              <w:jc w:val="both"/>
              <w:rPr>
                <w:rFonts w:cs="Times New Roman"/>
                <w:sz w:val="24"/>
                <w:szCs w:val="24"/>
              </w:rPr>
            </w:pPr>
            <w:r w:rsidRPr="001A14D2">
              <w:rPr>
                <w:rFonts w:cs="Times New Roman"/>
                <w:sz w:val="24"/>
                <w:szCs w:val="24"/>
              </w:rPr>
              <w:t>9%</w:t>
            </w:r>
          </w:p>
        </w:tc>
        <w:tc>
          <w:tcPr>
            <w:tcW w:w="2394" w:type="dxa"/>
          </w:tcPr>
          <w:p w14:paraId="59375DCC" w14:textId="77777777" w:rsidR="00A669D4" w:rsidRPr="001A14D2" w:rsidRDefault="00A669D4" w:rsidP="008E31E6">
            <w:pPr>
              <w:jc w:val="both"/>
              <w:rPr>
                <w:rFonts w:cs="Times New Roman"/>
                <w:sz w:val="24"/>
                <w:szCs w:val="24"/>
              </w:rPr>
            </w:pPr>
            <w:r w:rsidRPr="001A14D2">
              <w:rPr>
                <w:rFonts w:cs="Times New Roman"/>
                <w:sz w:val="24"/>
                <w:szCs w:val="24"/>
              </w:rPr>
              <w:t>Results</w:t>
            </w:r>
          </w:p>
        </w:tc>
        <w:tc>
          <w:tcPr>
            <w:tcW w:w="2394" w:type="dxa"/>
          </w:tcPr>
          <w:p w14:paraId="3C16523F" w14:textId="77777777" w:rsidR="00A669D4" w:rsidRPr="001A14D2" w:rsidRDefault="00A669D4" w:rsidP="008E31E6">
            <w:pPr>
              <w:jc w:val="both"/>
              <w:rPr>
                <w:rFonts w:cs="Times New Roman"/>
                <w:sz w:val="24"/>
                <w:szCs w:val="24"/>
              </w:rPr>
            </w:pPr>
          </w:p>
        </w:tc>
      </w:tr>
      <w:tr w:rsidR="00A669D4" w:rsidRPr="001A14D2" w14:paraId="37F9E01C" w14:textId="77777777" w:rsidTr="008E31E6">
        <w:tc>
          <w:tcPr>
            <w:tcW w:w="2394" w:type="dxa"/>
          </w:tcPr>
          <w:p w14:paraId="163441EB" w14:textId="77777777" w:rsidR="00A669D4" w:rsidRPr="001A14D2" w:rsidRDefault="00A669D4"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Indirectly applied to the bottom ( * ) </w:t>
            </w:r>
          </w:p>
        </w:tc>
        <w:tc>
          <w:tcPr>
            <w:tcW w:w="2394" w:type="dxa"/>
          </w:tcPr>
          <w:p w14:paraId="6DD19BA0" w14:textId="77777777" w:rsidR="00A669D4" w:rsidRPr="001A14D2" w:rsidRDefault="00A669D4" w:rsidP="008E31E6">
            <w:pPr>
              <w:jc w:val="both"/>
              <w:rPr>
                <w:rFonts w:cs="Times New Roman"/>
                <w:sz w:val="24"/>
                <w:szCs w:val="24"/>
              </w:rPr>
            </w:pPr>
            <w:r w:rsidRPr="001A14D2">
              <w:rPr>
                <w:rFonts w:cs="Times New Roman"/>
                <w:sz w:val="24"/>
                <w:szCs w:val="24"/>
              </w:rPr>
              <w:t>3%</w:t>
            </w:r>
          </w:p>
        </w:tc>
        <w:tc>
          <w:tcPr>
            <w:tcW w:w="2394" w:type="dxa"/>
          </w:tcPr>
          <w:p w14:paraId="1D4C3F5D" w14:textId="77777777" w:rsidR="00A669D4" w:rsidRPr="001A14D2" w:rsidRDefault="00A669D4" w:rsidP="008E31E6">
            <w:pPr>
              <w:jc w:val="both"/>
              <w:rPr>
                <w:rFonts w:cs="Times New Roman"/>
                <w:sz w:val="24"/>
                <w:szCs w:val="24"/>
              </w:rPr>
            </w:pPr>
            <w:r w:rsidRPr="001A14D2">
              <w:rPr>
                <w:rFonts w:cs="Times New Roman"/>
                <w:sz w:val="24"/>
                <w:szCs w:val="24"/>
              </w:rPr>
              <w:t>Heritage</w:t>
            </w:r>
          </w:p>
        </w:tc>
        <w:tc>
          <w:tcPr>
            <w:tcW w:w="2394" w:type="dxa"/>
          </w:tcPr>
          <w:p w14:paraId="11279E8A" w14:textId="77777777" w:rsidR="00A669D4" w:rsidRPr="001A14D2" w:rsidRDefault="00A669D4" w:rsidP="008E31E6">
            <w:pPr>
              <w:jc w:val="both"/>
              <w:rPr>
                <w:rFonts w:cs="Times New Roman"/>
                <w:sz w:val="24"/>
                <w:szCs w:val="24"/>
              </w:rPr>
            </w:pPr>
          </w:p>
        </w:tc>
      </w:tr>
      <w:tr w:rsidR="00A669D4" w:rsidRPr="001A14D2" w14:paraId="60D7C6D5" w14:textId="77777777" w:rsidTr="008E31E6">
        <w:tc>
          <w:tcPr>
            <w:tcW w:w="2394" w:type="dxa"/>
          </w:tcPr>
          <w:p w14:paraId="0817730F" w14:textId="77777777" w:rsidR="00A669D4" w:rsidRPr="001A14D2" w:rsidRDefault="00A669D4"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Custodian ( pa)</w:t>
            </w:r>
          </w:p>
        </w:tc>
        <w:tc>
          <w:tcPr>
            <w:tcW w:w="2394" w:type="dxa"/>
          </w:tcPr>
          <w:p w14:paraId="06A5B49C" w14:textId="77777777" w:rsidR="00A669D4" w:rsidRPr="001A14D2" w:rsidRDefault="00A669D4" w:rsidP="008E31E6">
            <w:pPr>
              <w:jc w:val="both"/>
              <w:rPr>
                <w:rFonts w:cs="Times New Roman"/>
                <w:sz w:val="24"/>
                <w:szCs w:val="24"/>
              </w:rPr>
            </w:pPr>
          </w:p>
        </w:tc>
        <w:tc>
          <w:tcPr>
            <w:tcW w:w="2394" w:type="dxa"/>
          </w:tcPr>
          <w:p w14:paraId="1E0E73F4" w14:textId="77777777" w:rsidR="00A669D4" w:rsidRPr="001A14D2" w:rsidRDefault="00A669D4" w:rsidP="008E31E6">
            <w:pPr>
              <w:jc w:val="both"/>
              <w:rPr>
                <w:rFonts w:cs="Times New Roman"/>
                <w:sz w:val="24"/>
                <w:szCs w:val="24"/>
              </w:rPr>
            </w:pPr>
          </w:p>
        </w:tc>
        <w:tc>
          <w:tcPr>
            <w:tcW w:w="2394" w:type="dxa"/>
          </w:tcPr>
          <w:p w14:paraId="2B8322B8" w14:textId="77777777" w:rsidR="00A669D4" w:rsidRPr="001A14D2" w:rsidRDefault="00A669D4" w:rsidP="008E31E6">
            <w:pPr>
              <w:jc w:val="both"/>
              <w:rPr>
                <w:rFonts w:cs="Times New Roman"/>
                <w:sz w:val="24"/>
                <w:szCs w:val="24"/>
              </w:rPr>
            </w:pPr>
          </w:p>
        </w:tc>
      </w:tr>
      <w:tr w:rsidR="00A669D4" w:rsidRPr="001A14D2" w14:paraId="05C5EED5" w14:textId="77777777" w:rsidTr="008E31E6">
        <w:tc>
          <w:tcPr>
            <w:tcW w:w="2394" w:type="dxa"/>
          </w:tcPr>
          <w:p w14:paraId="50F3B8FD" w14:textId="77777777" w:rsidR="00A669D4" w:rsidRPr="001A14D2" w:rsidRDefault="00A669D4" w:rsidP="00A669D4">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Applied directly to the fund</w:t>
            </w:r>
          </w:p>
        </w:tc>
        <w:tc>
          <w:tcPr>
            <w:tcW w:w="2394" w:type="dxa"/>
          </w:tcPr>
          <w:p w14:paraId="310C930F" w14:textId="77777777" w:rsidR="00A669D4" w:rsidRPr="001A14D2" w:rsidRDefault="00A669D4" w:rsidP="008E31E6">
            <w:pPr>
              <w:jc w:val="both"/>
              <w:rPr>
                <w:rFonts w:cs="Times New Roman"/>
                <w:sz w:val="24"/>
                <w:szCs w:val="24"/>
              </w:rPr>
            </w:pPr>
            <w:r w:rsidRPr="001A14D2">
              <w:rPr>
                <w:rFonts w:cs="Times New Roman"/>
                <w:sz w:val="24"/>
                <w:szCs w:val="24"/>
              </w:rPr>
              <w:t>0.05%</w:t>
            </w:r>
          </w:p>
        </w:tc>
        <w:tc>
          <w:tcPr>
            <w:tcW w:w="2394" w:type="dxa"/>
          </w:tcPr>
          <w:p w14:paraId="4A72756C" w14:textId="77777777" w:rsidR="00A669D4" w:rsidRPr="001A14D2" w:rsidRDefault="00A669D4" w:rsidP="008E31E6">
            <w:pPr>
              <w:jc w:val="both"/>
              <w:rPr>
                <w:rFonts w:cs="Times New Roman"/>
                <w:sz w:val="24"/>
                <w:szCs w:val="24"/>
              </w:rPr>
            </w:pPr>
            <w:r w:rsidRPr="001A14D2">
              <w:rPr>
                <w:rFonts w:cs="Times New Roman"/>
                <w:sz w:val="24"/>
                <w:szCs w:val="24"/>
              </w:rPr>
              <w:t>Heritage</w:t>
            </w:r>
          </w:p>
        </w:tc>
        <w:tc>
          <w:tcPr>
            <w:tcW w:w="2394" w:type="dxa"/>
          </w:tcPr>
          <w:p w14:paraId="240F9B4F" w14:textId="77777777" w:rsidR="00A669D4" w:rsidRPr="001A14D2" w:rsidRDefault="00A669D4" w:rsidP="008E31E6">
            <w:pPr>
              <w:jc w:val="both"/>
              <w:rPr>
                <w:rFonts w:cs="Times New Roman"/>
                <w:sz w:val="24"/>
                <w:szCs w:val="24"/>
              </w:rPr>
            </w:pPr>
          </w:p>
        </w:tc>
      </w:tr>
      <w:tr w:rsidR="00A669D4" w:rsidRPr="001A14D2" w14:paraId="460A97A0" w14:textId="77777777" w:rsidTr="008E31E6">
        <w:tc>
          <w:tcPr>
            <w:tcW w:w="2394" w:type="dxa"/>
          </w:tcPr>
          <w:p w14:paraId="15681FA6" w14:textId="77777777" w:rsidR="00A669D4" w:rsidRPr="001A14D2" w:rsidRDefault="00A669D4" w:rsidP="00A669D4">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Indirectly applied to the bottom ( * ) </w:t>
            </w:r>
          </w:p>
        </w:tc>
        <w:tc>
          <w:tcPr>
            <w:tcW w:w="2394" w:type="dxa"/>
          </w:tcPr>
          <w:p w14:paraId="5692D49B" w14:textId="77777777" w:rsidR="00A669D4" w:rsidRPr="001A14D2" w:rsidRDefault="00A669D4" w:rsidP="008E31E6">
            <w:pPr>
              <w:jc w:val="both"/>
              <w:rPr>
                <w:rFonts w:cs="Times New Roman"/>
                <w:sz w:val="24"/>
                <w:szCs w:val="24"/>
              </w:rPr>
            </w:pPr>
            <w:r w:rsidRPr="001A14D2">
              <w:rPr>
                <w:rFonts w:cs="Times New Roman"/>
                <w:sz w:val="24"/>
                <w:szCs w:val="24"/>
              </w:rPr>
              <w:t>0.2%</w:t>
            </w:r>
          </w:p>
        </w:tc>
        <w:tc>
          <w:tcPr>
            <w:tcW w:w="2394" w:type="dxa"/>
          </w:tcPr>
          <w:p w14:paraId="59F32C14" w14:textId="77777777" w:rsidR="00A669D4" w:rsidRPr="001A14D2" w:rsidRDefault="00A669D4" w:rsidP="008E31E6">
            <w:pPr>
              <w:jc w:val="both"/>
              <w:rPr>
                <w:rFonts w:cs="Times New Roman"/>
                <w:sz w:val="24"/>
                <w:szCs w:val="24"/>
              </w:rPr>
            </w:pPr>
            <w:r w:rsidRPr="001A14D2">
              <w:rPr>
                <w:rFonts w:cs="Times New Roman"/>
                <w:sz w:val="24"/>
                <w:szCs w:val="24"/>
              </w:rPr>
              <w:t>Heritage</w:t>
            </w:r>
          </w:p>
        </w:tc>
        <w:tc>
          <w:tcPr>
            <w:tcW w:w="2394" w:type="dxa"/>
          </w:tcPr>
          <w:p w14:paraId="60EED913" w14:textId="77777777" w:rsidR="00A669D4" w:rsidRPr="001A14D2" w:rsidRDefault="00A669D4" w:rsidP="008E31E6">
            <w:pPr>
              <w:jc w:val="both"/>
              <w:rPr>
                <w:rFonts w:cs="Times New Roman"/>
                <w:sz w:val="24"/>
                <w:szCs w:val="24"/>
              </w:rPr>
            </w:pPr>
          </w:p>
        </w:tc>
      </w:tr>
    </w:tbl>
    <w:p w14:paraId="1F67BA48" w14:textId="77777777" w:rsidR="00A669D4" w:rsidRPr="001A14D2" w:rsidRDefault="00A669D4" w:rsidP="00A669D4">
      <w:pPr>
        <w:spacing w:after="0"/>
        <w:rPr>
          <w:rFonts w:cs="Times New Roman"/>
          <w:sz w:val="24"/>
          <w:szCs w:val="24"/>
        </w:rPr>
      </w:pPr>
    </w:p>
    <w:p w14:paraId="696217DF" w14:textId="77777777" w:rsidR="00A669D4" w:rsidRPr="001A14D2" w:rsidRDefault="00A669D4" w:rsidP="00A669D4">
      <w:pPr>
        <w:spacing w:after="0"/>
        <w:rPr>
          <w:rFonts w:cs="Times New Roman"/>
          <w:sz w:val="24"/>
          <w:szCs w:val="24"/>
        </w:rPr>
      </w:pPr>
      <w:r w:rsidRPr="001A14D2">
        <w:rPr>
          <w:rFonts w:cs="Times New Roman"/>
          <w:sz w:val="24"/>
          <w:szCs w:val="24"/>
        </w:rPr>
        <w:t>(* ) Maximum Annual Percentage supported indirectly by the fund as a result of investment in IIC</w:t>
      </w:r>
    </w:p>
    <w:p w14:paraId="733ABD4B" w14:textId="77777777" w:rsidR="00A669D4" w:rsidRPr="001A14D2" w:rsidRDefault="00A669D4" w:rsidP="00A669D4">
      <w:pPr>
        <w:spacing w:after="0"/>
        <w:rPr>
          <w:rFonts w:cs="Times New Roman"/>
          <w:sz w:val="24"/>
          <w:szCs w:val="24"/>
        </w:rPr>
      </w:pPr>
    </w:p>
    <w:p w14:paraId="2F7CED0B" w14:textId="77777777" w:rsidR="00DC39BD" w:rsidRPr="001A14D2" w:rsidRDefault="00A669D4" w:rsidP="00A669D4">
      <w:pPr>
        <w:spacing w:after="0"/>
        <w:rPr>
          <w:rFonts w:cs="Times New Roman"/>
          <w:sz w:val="24"/>
          <w:szCs w:val="24"/>
        </w:rPr>
      </w:pPr>
      <w:r w:rsidRPr="001A14D2">
        <w:rPr>
          <w:rFonts w:cs="Times New Roman"/>
          <w:sz w:val="24"/>
          <w:szCs w:val="24"/>
        </w:rPr>
        <w:t>On the portion of assets invested in UCI, the maximum indirect fee will not exceed 2.5% per annum on the assets in the event of management fee and 0.2% per annum on the asse</w:t>
      </w:r>
      <w:r w:rsidR="00DD5594" w:rsidRPr="001A14D2">
        <w:rPr>
          <w:rFonts w:cs="Times New Roman"/>
          <w:sz w:val="24"/>
          <w:szCs w:val="24"/>
        </w:rPr>
        <w:t xml:space="preserve">ts in the event of custody fee. </w:t>
      </w:r>
    </w:p>
    <w:p w14:paraId="669E9024" w14:textId="77777777" w:rsidR="00DC39BD" w:rsidRPr="001A14D2" w:rsidRDefault="00A669D4" w:rsidP="00A669D4">
      <w:pPr>
        <w:spacing w:after="0"/>
        <w:rPr>
          <w:rFonts w:cs="Times New Roman"/>
          <w:sz w:val="24"/>
          <w:szCs w:val="24"/>
        </w:rPr>
      </w:pPr>
      <w:r w:rsidRPr="001A14D2">
        <w:rPr>
          <w:rFonts w:cs="Times New Roman"/>
          <w:sz w:val="24"/>
          <w:szCs w:val="24"/>
        </w:rPr>
        <w:t xml:space="preserve">For the part of the group IIC invested in assets, the maximum management </w:t>
      </w:r>
      <w:proofErr w:type="gramStart"/>
      <w:r w:rsidRPr="001A14D2">
        <w:rPr>
          <w:rFonts w:cs="Times New Roman"/>
          <w:sz w:val="24"/>
          <w:szCs w:val="24"/>
        </w:rPr>
        <w:t>fee applied directly and indirectly not exceed</w:t>
      </w:r>
      <w:proofErr w:type="gramEnd"/>
      <w:r w:rsidRPr="001A14D2">
        <w:rPr>
          <w:rFonts w:cs="Times New Roman"/>
          <w:sz w:val="24"/>
          <w:szCs w:val="24"/>
        </w:rPr>
        <w:t xml:space="preserve"> 2.25% per annum. It exempts the bottom of commission payments and redemption of the investment in group IIC. Notwithstanding such fees, the fund will bear the following expenses: </w:t>
      </w:r>
    </w:p>
    <w:p w14:paraId="6C0CAA6A" w14:textId="77777777" w:rsidR="00DC39BD" w:rsidRPr="001A14D2" w:rsidRDefault="00A669D4" w:rsidP="00DC39BD">
      <w:pPr>
        <w:pStyle w:val="ListParagraph"/>
        <w:numPr>
          <w:ilvl w:val="0"/>
          <w:numId w:val="6"/>
        </w:numPr>
        <w:spacing w:after="0"/>
        <w:rPr>
          <w:rFonts w:cs="Times New Roman"/>
          <w:sz w:val="24"/>
          <w:szCs w:val="24"/>
        </w:rPr>
      </w:pPr>
      <w:r w:rsidRPr="001A14D2">
        <w:rPr>
          <w:rFonts w:cs="Times New Roman"/>
          <w:sz w:val="24"/>
          <w:szCs w:val="24"/>
        </w:rPr>
        <w:t xml:space="preserve">intermediation, </w:t>
      </w:r>
    </w:p>
    <w:p w14:paraId="3CF28F95" w14:textId="77777777" w:rsidR="00DC39BD" w:rsidRPr="001A14D2" w:rsidRDefault="00A669D4" w:rsidP="00DC39BD">
      <w:pPr>
        <w:pStyle w:val="ListParagraph"/>
        <w:numPr>
          <w:ilvl w:val="0"/>
          <w:numId w:val="6"/>
        </w:numPr>
        <w:spacing w:after="0"/>
        <w:rPr>
          <w:rFonts w:cs="Times New Roman"/>
          <w:sz w:val="24"/>
          <w:szCs w:val="24"/>
        </w:rPr>
      </w:pPr>
      <w:r w:rsidRPr="001A14D2">
        <w:rPr>
          <w:rFonts w:cs="Times New Roman"/>
          <w:sz w:val="24"/>
          <w:szCs w:val="24"/>
        </w:rPr>
        <w:t xml:space="preserve">settlement, </w:t>
      </w:r>
    </w:p>
    <w:p w14:paraId="407B1056" w14:textId="77777777" w:rsidR="00DC39BD" w:rsidRPr="001A14D2" w:rsidRDefault="00A669D4" w:rsidP="00DC39BD">
      <w:pPr>
        <w:pStyle w:val="ListParagraph"/>
        <w:numPr>
          <w:ilvl w:val="0"/>
          <w:numId w:val="6"/>
        </w:numPr>
        <w:spacing w:after="0"/>
        <w:rPr>
          <w:rFonts w:cs="Times New Roman"/>
          <w:sz w:val="24"/>
          <w:szCs w:val="24"/>
        </w:rPr>
      </w:pPr>
      <w:r w:rsidRPr="001A14D2">
        <w:rPr>
          <w:rFonts w:cs="Times New Roman"/>
          <w:sz w:val="24"/>
          <w:szCs w:val="24"/>
        </w:rPr>
        <w:t xml:space="preserve">CNMV fees, </w:t>
      </w:r>
    </w:p>
    <w:p w14:paraId="4C2E787A" w14:textId="77777777" w:rsidR="00DC39BD" w:rsidRPr="001A14D2" w:rsidRDefault="00A669D4" w:rsidP="00DC39BD">
      <w:pPr>
        <w:pStyle w:val="ListParagraph"/>
        <w:numPr>
          <w:ilvl w:val="0"/>
          <w:numId w:val="6"/>
        </w:numPr>
        <w:spacing w:after="0"/>
        <w:rPr>
          <w:rFonts w:cs="Times New Roman"/>
          <w:sz w:val="24"/>
          <w:szCs w:val="24"/>
        </w:rPr>
      </w:pPr>
      <w:r w:rsidRPr="001A14D2">
        <w:rPr>
          <w:rFonts w:cs="Times New Roman"/>
          <w:sz w:val="24"/>
          <w:szCs w:val="24"/>
        </w:rPr>
        <w:t xml:space="preserve">auditing and </w:t>
      </w:r>
    </w:p>
    <w:p w14:paraId="2DD0B3DE" w14:textId="77777777" w:rsidR="00DC39BD" w:rsidRPr="001A14D2" w:rsidRDefault="00A669D4" w:rsidP="00DC39BD">
      <w:pPr>
        <w:pStyle w:val="ListParagraph"/>
        <w:numPr>
          <w:ilvl w:val="0"/>
          <w:numId w:val="6"/>
        </w:numPr>
        <w:spacing w:after="0"/>
        <w:rPr>
          <w:rFonts w:cs="Times New Roman"/>
          <w:sz w:val="24"/>
          <w:szCs w:val="24"/>
        </w:rPr>
      </w:pPr>
      <w:proofErr w:type="gramStart"/>
      <w:r w:rsidRPr="001A14D2">
        <w:rPr>
          <w:rFonts w:cs="Times New Roman"/>
          <w:sz w:val="24"/>
          <w:szCs w:val="24"/>
        </w:rPr>
        <w:t>financial</w:t>
      </w:r>
      <w:proofErr w:type="gramEnd"/>
      <w:r w:rsidRPr="001A14D2">
        <w:rPr>
          <w:rFonts w:cs="Times New Roman"/>
          <w:sz w:val="24"/>
          <w:szCs w:val="24"/>
        </w:rPr>
        <w:t xml:space="preserve"> costs regarding loans or overdrafts. </w:t>
      </w:r>
    </w:p>
    <w:p w14:paraId="3A91136E" w14:textId="77777777" w:rsidR="00DC39BD" w:rsidRPr="001A14D2" w:rsidRDefault="00DC39BD" w:rsidP="00DC39BD">
      <w:pPr>
        <w:spacing w:after="0"/>
        <w:rPr>
          <w:rFonts w:cs="Times New Roman"/>
          <w:sz w:val="24"/>
          <w:szCs w:val="24"/>
        </w:rPr>
      </w:pPr>
    </w:p>
    <w:p w14:paraId="6AA33D3F" w14:textId="77777777" w:rsidR="00A669D4" w:rsidRPr="001A14D2" w:rsidRDefault="00A669D4" w:rsidP="00DC39BD">
      <w:pPr>
        <w:spacing w:after="0"/>
        <w:rPr>
          <w:rFonts w:cs="Times New Roman"/>
          <w:sz w:val="24"/>
          <w:szCs w:val="24"/>
        </w:rPr>
      </w:pPr>
      <w:r w:rsidRPr="001A14D2">
        <w:rPr>
          <w:rFonts w:cs="Times New Roman"/>
          <w:sz w:val="24"/>
          <w:szCs w:val="24"/>
        </w:rPr>
        <w:t>The maximum legal limits for commissions and discounts are the following:</w:t>
      </w:r>
    </w:p>
    <w:p w14:paraId="1371955F" w14:textId="77777777" w:rsidR="00380E80" w:rsidRPr="001A14D2" w:rsidRDefault="00A669D4" w:rsidP="00A669D4">
      <w:pPr>
        <w:pStyle w:val="ListParagraph"/>
        <w:numPr>
          <w:ilvl w:val="0"/>
          <w:numId w:val="6"/>
        </w:numPr>
        <w:spacing w:after="0"/>
        <w:rPr>
          <w:rFonts w:cs="Times New Roman"/>
          <w:sz w:val="24"/>
          <w:szCs w:val="24"/>
        </w:rPr>
      </w:pPr>
      <w:r w:rsidRPr="001A14D2">
        <w:rPr>
          <w:rFonts w:cs="Times New Roman"/>
          <w:sz w:val="24"/>
          <w:szCs w:val="24"/>
        </w:rPr>
        <w:t>Management fee:</w:t>
      </w:r>
    </w:p>
    <w:p w14:paraId="077C1E2E" w14:textId="77777777" w:rsidR="00380E80" w:rsidRPr="001A14D2" w:rsidRDefault="00A669D4" w:rsidP="00A669D4">
      <w:pPr>
        <w:pStyle w:val="ListParagraph"/>
        <w:numPr>
          <w:ilvl w:val="1"/>
          <w:numId w:val="6"/>
        </w:numPr>
        <w:spacing w:after="0"/>
        <w:rPr>
          <w:rFonts w:cs="Times New Roman"/>
          <w:sz w:val="24"/>
          <w:szCs w:val="24"/>
        </w:rPr>
      </w:pPr>
      <w:r w:rsidRPr="001A14D2">
        <w:rPr>
          <w:rFonts w:cs="Times New Roman"/>
          <w:sz w:val="24"/>
          <w:szCs w:val="24"/>
        </w:rPr>
        <w:t>2.25% per annum if calculated on the fund's assets</w:t>
      </w:r>
    </w:p>
    <w:p w14:paraId="3F9E74D2" w14:textId="77777777" w:rsidR="00380E80" w:rsidRPr="001A14D2" w:rsidRDefault="00A669D4" w:rsidP="00A669D4">
      <w:pPr>
        <w:pStyle w:val="ListParagraph"/>
        <w:numPr>
          <w:ilvl w:val="1"/>
          <w:numId w:val="6"/>
        </w:numPr>
        <w:spacing w:after="0"/>
        <w:rPr>
          <w:rFonts w:cs="Times New Roman"/>
          <w:sz w:val="24"/>
          <w:szCs w:val="24"/>
        </w:rPr>
      </w:pPr>
      <w:r w:rsidRPr="001A14D2">
        <w:rPr>
          <w:rFonts w:cs="Times New Roman"/>
          <w:sz w:val="24"/>
          <w:szCs w:val="24"/>
        </w:rPr>
        <w:t>18% if calculated on the fund's annual results</w:t>
      </w:r>
    </w:p>
    <w:p w14:paraId="3CF47947" w14:textId="77777777" w:rsidR="00A669D4" w:rsidRPr="001A14D2" w:rsidRDefault="00A669D4" w:rsidP="00A669D4">
      <w:pPr>
        <w:pStyle w:val="ListParagraph"/>
        <w:numPr>
          <w:ilvl w:val="1"/>
          <w:numId w:val="6"/>
        </w:numPr>
        <w:spacing w:after="0"/>
        <w:rPr>
          <w:rFonts w:cs="Times New Roman"/>
          <w:sz w:val="24"/>
          <w:szCs w:val="24"/>
        </w:rPr>
      </w:pPr>
      <w:r w:rsidRPr="001A14D2">
        <w:rPr>
          <w:rFonts w:cs="Times New Roman"/>
          <w:sz w:val="24"/>
          <w:szCs w:val="24"/>
        </w:rPr>
        <w:t>1.35% per annum on equity plus 9% on the annual results if calculated on both variables</w:t>
      </w:r>
    </w:p>
    <w:p w14:paraId="09DD5C3B" w14:textId="77777777" w:rsidR="00A669D4" w:rsidRPr="001A14D2" w:rsidRDefault="00A669D4" w:rsidP="00380E80">
      <w:pPr>
        <w:pStyle w:val="ListParagraph"/>
        <w:numPr>
          <w:ilvl w:val="0"/>
          <w:numId w:val="6"/>
        </w:numPr>
        <w:spacing w:after="0"/>
        <w:rPr>
          <w:rFonts w:cs="Times New Roman"/>
          <w:sz w:val="24"/>
          <w:szCs w:val="24"/>
        </w:rPr>
      </w:pPr>
      <w:r w:rsidRPr="001A14D2">
        <w:rPr>
          <w:rFonts w:cs="Times New Roman"/>
          <w:sz w:val="24"/>
          <w:szCs w:val="24"/>
        </w:rPr>
        <w:t>Custodian fee: 0.20% of the fund assets.</w:t>
      </w:r>
    </w:p>
    <w:p w14:paraId="0C280932" w14:textId="77777777" w:rsidR="00A669D4" w:rsidRPr="001A14D2" w:rsidRDefault="00A669D4" w:rsidP="00A669D4">
      <w:pPr>
        <w:spacing w:after="0"/>
        <w:rPr>
          <w:rFonts w:cs="Times New Roman"/>
          <w:sz w:val="24"/>
          <w:szCs w:val="24"/>
        </w:rPr>
      </w:pPr>
      <w:proofErr w:type="gramStart"/>
      <w:r w:rsidRPr="001A14D2">
        <w:rPr>
          <w:rFonts w:cs="Times New Roman"/>
          <w:sz w:val="24"/>
          <w:szCs w:val="24"/>
        </w:rPr>
        <w:t>Commissions and discounts and redemption 5% of the shares.</w:t>
      </w:r>
      <w:proofErr w:type="gramEnd"/>
    </w:p>
    <w:p w14:paraId="76F57AC2" w14:textId="77777777" w:rsidR="00A669D4" w:rsidRPr="001A14D2" w:rsidRDefault="00A669D4" w:rsidP="00A669D4">
      <w:pPr>
        <w:spacing w:after="0"/>
        <w:rPr>
          <w:rFonts w:cs="Times New Roman"/>
          <w:sz w:val="24"/>
          <w:szCs w:val="24"/>
        </w:rPr>
      </w:pPr>
    </w:p>
    <w:p w14:paraId="42735C23" w14:textId="77777777" w:rsidR="00A669D4" w:rsidRPr="001A14D2" w:rsidRDefault="00A669D4" w:rsidP="00A669D4">
      <w:pPr>
        <w:spacing w:after="0"/>
        <w:rPr>
          <w:rFonts w:cs="Times New Roman"/>
          <w:sz w:val="24"/>
          <w:szCs w:val="24"/>
        </w:rPr>
      </w:pPr>
      <w:r w:rsidRPr="001A14D2">
        <w:rPr>
          <w:rFonts w:cs="Times New Roman"/>
          <w:b/>
          <w:sz w:val="24"/>
          <w:szCs w:val="24"/>
        </w:rPr>
        <w:lastRenderedPageBreak/>
        <w:t xml:space="preserve">Imputation system of the performance fee: </w:t>
      </w:r>
      <w:r w:rsidRPr="001A14D2">
        <w:rPr>
          <w:rFonts w:cs="Times New Roman"/>
          <w:sz w:val="24"/>
          <w:szCs w:val="24"/>
        </w:rPr>
        <w:t>The Management Company will articulate a system of allocating commissions results that prevents a participant support committees when the net asset value of their shares is less than a value previously achieved by the Fund and it has supported performance fees. For this purpose, the commission charged to the fund management on results only in those years in which the net asset value exceeds any previously achieved in years in which there was a performance fee. Notwithstanding the above, the net asset value achieved by the fund only will link the SGIIC for periods of three years.</w:t>
      </w:r>
    </w:p>
    <w:p w14:paraId="5EA287B3" w14:textId="77777777" w:rsidR="007241AF" w:rsidRPr="001A14D2" w:rsidRDefault="007241AF" w:rsidP="00A669D4">
      <w:pPr>
        <w:spacing w:after="0"/>
        <w:rPr>
          <w:rFonts w:cs="Times New Roman"/>
          <w:b/>
          <w:sz w:val="24"/>
          <w:szCs w:val="24"/>
        </w:rPr>
      </w:pPr>
      <w:bookmarkStart w:id="0" w:name="_GoBack"/>
      <w:bookmarkEnd w:id="0"/>
    </w:p>
    <w:p w14:paraId="1C3CC7D4" w14:textId="77777777" w:rsidR="00A669D4" w:rsidRPr="001A14D2" w:rsidRDefault="00A669D4" w:rsidP="00A669D4">
      <w:pPr>
        <w:spacing w:after="0"/>
        <w:rPr>
          <w:rFonts w:cs="Times New Roman"/>
          <w:b/>
          <w:sz w:val="24"/>
          <w:szCs w:val="24"/>
        </w:rPr>
      </w:pPr>
      <w:r w:rsidRPr="001A14D2">
        <w:rPr>
          <w:rFonts w:cs="Times New Roman"/>
          <w:b/>
          <w:sz w:val="24"/>
          <w:szCs w:val="24"/>
        </w:rPr>
        <w:t>INFORMATION ON PERFORMANCE AND EXPENSES</w:t>
      </w:r>
    </w:p>
    <w:p w14:paraId="62CAD5C6" w14:textId="77777777" w:rsidR="00A669D4" w:rsidRPr="001A14D2" w:rsidRDefault="00A669D4" w:rsidP="00A669D4">
      <w:pPr>
        <w:spacing w:after="0"/>
        <w:rPr>
          <w:rFonts w:cs="Times New Roman"/>
          <w:sz w:val="24"/>
          <w:szCs w:val="24"/>
        </w:rPr>
      </w:pPr>
      <w:r w:rsidRPr="001A14D2">
        <w:rPr>
          <w:rFonts w:cs="Times New Roman"/>
          <w:sz w:val="24"/>
          <w:szCs w:val="24"/>
        </w:rPr>
        <w:t>information collected This booklet is annexed in the last half-yearly report on the development fund historical profitability of participation and the entire expenditure in terms of percentage of its assets medium. It is noted that the historical evolution of the performance is not an indicator of future results.</w:t>
      </w:r>
    </w:p>
    <w:p w14:paraId="1A77EAE4" w14:textId="77777777" w:rsidR="00A669D4" w:rsidRPr="001A14D2" w:rsidRDefault="00A669D4" w:rsidP="00A669D4">
      <w:pPr>
        <w:spacing w:after="0"/>
        <w:rPr>
          <w:rFonts w:cs="Times New Roman"/>
          <w:sz w:val="24"/>
          <w:szCs w:val="24"/>
        </w:rPr>
      </w:pPr>
    </w:p>
    <w:p w14:paraId="057AFE21" w14:textId="77777777" w:rsidR="00A669D4" w:rsidRPr="001A14D2" w:rsidRDefault="00A669D4" w:rsidP="00A669D4">
      <w:pPr>
        <w:spacing w:after="0"/>
        <w:rPr>
          <w:rFonts w:cs="Times New Roman"/>
          <w:b/>
          <w:sz w:val="24"/>
          <w:szCs w:val="24"/>
        </w:rPr>
      </w:pPr>
      <w:r w:rsidRPr="001A14D2">
        <w:rPr>
          <w:rFonts w:cs="Times New Roman"/>
          <w:b/>
          <w:sz w:val="24"/>
          <w:szCs w:val="24"/>
        </w:rPr>
        <w:t>OTHER INFORMATION</w:t>
      </w:r>
    </w:p>
    <w:p w14:paraId="5A73EE89" w14:textId="77777777" w:rsidR="00A669D4" w:rsidRPr="001A14D2" w:rsidRDefault="00A669D4" w:rsidP="00A669D4">
      <w:pPr>
        <w:spacing w:after="0"/>
        <w:rPr>
          <w:rFonts w:cs="Times New Roman"/>
          <w:sz w:val="24"/>
          <w:szCs w:val="24"/>
        </w:rPr>
      </w:pPr>
      <w:r w:rsidRPr="001A14D2">
        <w:rPr>
          <w:rFonts w:cs="Times New Roman"/>
          <w:sz w:val="24"/>
          <w:szCs w:val="24"/>
        </w:rPr>
        <w:t>This document contains the information necessary for the investor to make an informed judgment of the investment is He proposed. Read it carefully, and if necessary, seek professional advice. The information in this booklet can be modified in the future. Such amendments shall be made public in the legally established manner may, where appropriate, grant the participant in the corresponding right of withdrawal.</w:t>
      </w:r>
    </w:p>
    <w:p w14:paraId="2C92E09A" w14:textId="77777777" w:rsidR="00A669D4" w:rsidRPr="001A14D2" w:rsidRDefault="00A669D4" w:rsidP="00A669D4">
      <w:pPr>
        <w:spacing w:after="0"/>
        <w:rPr>
          <w:rFonts w:cs="Times New Roman"/>
          <w:sz w:val="24"/>
          <w:szCs w:val="24"/>
        </w:rPr>
      </w:pPr>
      <w:r w:rsidRPr="001A14D2">
        <w:rPr>
          <w:rFonts w:cs="Times New Roman"/>
          <w:sz w:val="24"/>
          <w:szCs w:val="24"/>
        </w:rPr>
        <w:t xml:space="preserve">Positive verification and subsequent registration of the prospectus by the CNMV does not imply recommending subscription of shares </w:t>
      </w:r>
      <w:proofErr w:type="gramStart"/>
      <w:r w:rsidRPr="001A14D2">
        <w:rPr>
          <w:rFonts w:cs="Times New Roman"/>
          <w:sz w:val="24"/>
          <w:szCs w:val="24"/>
        </w:rPr>
        <w:t>It</w:t>
      </w:r>
      <w:proofErr w:type="gramEnd"/>
      <w:r w:rsidRPr="001A14D2">
        <w:rPr>
          <w:rFonts w:cs="Times New Roman"/>
          <w:sz w:val="24"/>
          <w:szCs w:val="24"/>
        </w:rPr>
        <w:t xml:space="preserve"> referred to therein, nor any comment on the solvency of the fund or the yield or quality of the units offered.</w:t>
      </w:r>
    </w:p>
    <w:p w14:paraId="19BF3DD4" w14:textId="77777777" w:rsidR="00A669D4" w:rsidRPr="001A14D2" w:rsidRDefault="00A669D4" w:rsidP="00A669D4">
      <w:pPr>
        <w:spacing w:after="0"/>
        <w:rPr>
          <w:rFonts w:cs="Times New Roman"/>
          <w:sz w:val="24"/>
          <w:szCs w:val="24"/>
          <w:u w:val="single"/>
        </w:rPr>
      </w:pPr>
      <w:r w:rsidRPr="001A14D2">
        <w:rPr>
          <w:rFonts w:cs="Times New Roman"/>
          <w:sz w:val="24"/>
          <w:szCs w:val="24"/>
          <w:u w:val="single"/>
        </w:rPr>
        <w:t>Regular reports</w:t>
      </w:r>
    </w:p>
    <w:p w14:paraId="58B3A53D" w14:textId="77777777" w:rsidR="00A669D4" w:rsidRPr="001A14D2" w:rsidRDefault="00A669D4" w:rsidP="00A669D4">
      <w:pPr>
        <w:spacing w:after="0"/>
        <w:rPr>
          <w:rFonts w:cs="Times New Roman"/>
          <w:sz w:val="24"/>
          <w:szCs w:val="24"/>
        </w:rPr>
      </w:pPr>
      <w:r w:rsidRPr="001A14D2">
        <w:rPr>
          <w:rFonts w:cs="Times New Roman"/>
          <w:sz w:val="24"/>
          <w:szCs w:val="24"/>
        </w:rPr>
        <w:t xml:space="preserve">The Management Company or, where applicable, the distributor must send to each participant at the end of the year, a statement of their position in the Background. When the investor expressly demands so, such documentation will be sent by electronic means. The Manager or the distributor sent free of charge to unitholders annual and semiannual reports, unless expressly waive it, and also quarterly reports to those holders who so request. </w:t>
      </w:r>
      <w:proofErr w:type="gramStart"/>
      <w:r w:rsidRPr="001A14D2">
        <w:rPr>
          <w:rFonts w:cs="Times New Roman"/>
          <w:sz w:val="24"/>
          <w:szCs w:val="24"/>
        </w:rPr>
        <w:t>When so requires, such documentation will be sent by electronic means.</w:t>
      </w:r>
      <w:proofErr w:type="gramEnd"/>
    </w:p>
    <w:p w14:paraId="7ED6E9FA" w14:textId="77777777" w:rsidR="00A669D4" w:rsidRPr="001A14D2" w:rsidRDefault="00A669D4" w:rsidP="00A669D4">
      <w:pPr>
        <w:spacing w:after="0"/>
        <w:rPr>
          <w:rFonts w:cs="Times New Roman"/>
          <w:sz w:val="24"/>
          <w:szCs w:val="24"/>
          <w:u w:val="single"/>
        </w:rPr>
      </w:pPr>
      <w:r w:rsidRPr="001A14D2">
        <w:rPr>
          <w:rFonts w:cs="Times New Roman"/>
          <w:sz w:val="24"/>
          <w:szCs w:val="24"/>
          <w:u w:val="single"/>
        </w:rPr>
        <w:t>Taxation</w:t>
      </w:r>
    </w:p>
    <w:p w14:paraId="15DB0D57" w14:textId="77777777" w:rsidR="00A669D4" w:rsidRPr="001A14D2" w:rsidRDefault="00A669D4" w:rsidP="00A669D4">
      <w:pPr>
        <w:spacing w:after="0"/>
        <w:rPr>
          <w:rFonts w:cs="Times New Roman"/>
          <w:sz w:val="24"/>
          <w:szCs w:val="24"/>
        </w:rPr>
      </w:pPr>
      <w:r w:rsidRPr="001A14D2">
        <w:rPr>
          <w:rFonts w:cs="Times New Roman"/>
          <w:sz w:val="24"/>
          <w:szCs w:val="24"/>
        </w:rPr>
        <w:t xml:space="preserve">Taxation of income derived by participants will depend on the tax law applicable to their personal situation. In case of </w:t>
      </w:r>
      <w:proofErr w:type="gramStart"/>
      <w:r w:rsidRPr="001A14D2">
        <w:rPr>
          <w:rFonts w:cs="Times New Roman"/>
          <w:sz w:val="24"/>
          <w:szCs w:val="24"/>
        </w:rPr>
        <w:t>certainly ,</w:t>
      </w:r>
      <w:proofErr w:type="gramEnd"/>
      <w:r w:rsidRPr="001A14D2">
        <w:rPr>
          <w:rFonts w:cs="Times New Roman"/>
          <w:sz w:val="24"/>
          <w:szCs w:val="24"/>
        </w:rPr>
        <w:t xml:space="preserve"> it is recommended to seek professional advice . Returns obtained by the Investment Funds are taxed at 1% </w:t>
      </w:r>
      <w:proofErr w:type="gramStart"/>
      <w:r w:rsidRPr="001A14D2">
        <w:rPr>
          <w:rFonts w:cs="Times New Roman"/>
          <w:sz w:val="24"/>
          <w:szCs w:val="24"/>
        </w:rPr>
        <w:t>Corporate</w:t>
      </w:r>
      <w:proofErr w:type="gramEnd"/>
      <w:r w:rsidRPr="001A14D2">
        <w:rPr>
          <w:rFonts w:cs="Times New Roman"/>
          <w:sz w:val="24"/>
          <w:szCs w:val="24"/>
        </w:rPr>
        <w:t xml:space="preserve"> income tax. Returns obtained by resident individuals as a result of redemption or transfer of subscriptions are considered as capital </w:t>
      </w:r>
      <w:proofErr w:type="gramStart"/>
      <w:r w:rsidRPr="001A14D2">
        <w:rPr>
          <w:rFonts w:cs="Times New Roman"/>
          <w:sz w:val="24"/>
          <w:szCs w:val="24"/>
        </w:rPr>
        <w:t>gains ,</w:t>
      </w:r>
      <w:proofErr w:type="gramEnd"/>
      <w:r w:rsidRPr="001A14D2">
        <w:rPr>
          <w:rFonts w:cs="Times New Roman"/>
          <w:sz w:val="24"/>
          <w:szCs w:val="24"/>
        </w:rPr>
        <w:t xml:space="preserve"> subject to withholding of 19.5 % or capital loss . The Returns obtained by resident </w:t>
      </w:r>
      <w:r w:rsidRPr="001A14D2">
        <w:rPr>
          <w:rFonts w:cs="Times New Roman"/>
          <w:sz w:val="24"/>
          <w:szCs w:val="24"/>
        </w:rPr>
        <w:lastRenderedPageBreak/>
        <w:t>individuals as a result of the redemption or transfer of shares shall be assigned effects of income tax of individuals in the savings tax base. Th</w:t>
      </w:r>
      <w:r w:rsidR="008E31E6" w:rsidRPr="001A14D2">
        <w:rPr>
          <w:rFonts w:cs="Times New Roman"/>
          <w:sz w:val="24"/>
          <w:szCs w:val="24"/>
        </w:rPr>
        <w:t xml:space="preserve">e savings tax base in the party </w:t>
      </w:r>
      <w:r w:rsidRPr="001A14D2">
        <w:rPr>
          <w:rFonts w:cs="Times New Roman"/>
          <w:sz w:val="24"/>
          <w:szCs w:val="24"/>
        </w:rPr>
        <w:t xml:space="preserve">not applicable, where appropriate, with the personal and family allowances that the Income Tax Law refers </w:t>
      </w:r>
      <w:r w:rsidR="008E31E6" w:rsidRPr="001A14D2">
        <w:rPr>
          <w:rFonts w:cs="Times New Roman"/>
          <w:sz w:val="24"/>
          <w:szCs w:val="24"/>
        </w:rPr>
        <w:t xml:space="preserve">to, taxed at 19.5% in the first </w:t>
      </w:r>
      <w:r w:rsidRPr="001A14D2">
        <w:rPr>
          <w:rFonts w:cs="Times New Roman"/>
          <w:sz w:val="24"/>
          <w:szCs w:val="24"/>
        </w:rPr>
        <w:t>€ 6,000 21.5% f</w:t>
      </w:r>
      <w:r w:rsidR="008E31E6" w:rsidRPr="001A14D2">
        <w:rPr>
          <w:rFonts w:cs="Times New Roman"/>
          <w:sz w:val="24"/>
          <w:szCs w:val="24"/>
        </w:rPr>
        <w:t xml:space="preserve">rom that number to 50,000 € and </w:t>
      </w:r>
      <w:r w:rsidRPr="001A14D2">
        <w:rPr>
          <w:rFonts w:cs="Times New Roman"/>
          <w:sz w:val="24"/>
          <w:szCs w:val="24"/>
        </w:rPr>
        <w:t>23.5% from € 50,000. All without prejudice to</w:t>
      </w:r>
      <w:r w:rsidR="008E31E6" w:rsidRPr="001A14D2">
        <w:rPr>
          <w:rFonts w:cs="Times New Roman"/>
          <w:sz w:val="24"/>
          <w:szCs w:val="24"/>
        </w:rPr>
        <w:t xml:space="preserve"> the tax regime provided for in </w:t>
      </w:r>
      <w:r w:rsidRPr="001A14D2">
        <w:rPr>
          <w:rFonts w:cs="Times New Roman"/>
          <w:sz w:val="24"/>
          <w:szCs w:val="24"/>
        </w:rPr>
        <w:t>current regulations applicable to transfers between UCITS. For the treatment of incom</w:t>
      </w:r>
      <w:r w:rsidR="008E31E6" w:rsidRPr="001A14D2">
        <w:rPr>
          <w:rFonts w:cs="Times New Roman"/>
          <w:sz w:val="24"/>
          <w:szCs w:val="24"/>
        </w:rPr>
        <w:t xml:space="preserve">e realized by legal persons not </w:t>
      </w:r>
      <w:r w:rsidRPr="001A14D2">
        <w:rPr>
          <w:rFonts w:cs="Times New Roman"/>
          <w:sz w:val="24"/>
          <w:szCs w:val="24"/>
        </w:rPr>
        <w:t>residents or special regimes, it shall be as specified in the regulations.</w:t>
      </w:r>
    </w:p>
    <w:p w14:paraId="0F9B7D47" w14:textId="77777777" w:rsidR="008E31E6" w:rsidRPr="001A14D2" w:rsidRDefault="008E31E6" w:rsidP="00A669D4">
      <w:pPr>
        <w:spacing w:after="0"/>
        <w:rPr>
          <w:rFonts w:cs="Times New Roman"/>
          <w:sz w:val="24"/>
          <w:szCs w:val="24"/>
        </w:rPr>
      </w:pPr>
    </w:p>
    <w:p w14:paraId="5B21C8E2" w14:textId="77777777" w:rsidR="008E31E6" w:rsidRPr="001A14D2" w:rsidRDefault="00A669D4" w:rsidP="00A669D4">
      <w:pPr>
        <w:spacing w:after="0"/>
        <w:rPr>
          <w:rFonts w:cs="Times New Roman"/>
          <w:sz w:val="24"/>
          <w:szCs w:val="24"/>
        </w:rPr>
      </w:pPr>
      <w:r w:rsidRPr="001A14D2">
        <w:rPr>
          <w:rFonts w:cs="Times New Roman"/>
          <w:sz w:val="24"/>
          <w:szCs w:val="24"/>
          <w:u w:val="single"/>
        </w:rPr>
        <w:t>Financial Statements:</w:t>
      </w:r>
      <w:r w:rsidRPr="001A14D2">
        <w:rPr>
          <w:rFonts w:cs="Times New Roman"/>
          <w:sz w:val="24"/>
          <w:szCs w:val="24"/>
        </w:rPr>
        <w:t xml:space="preserve"> The closing date of the financial statements is De</w:t>
      </w:r>
      <w:r w:rsidR="008E31E6" w:rsidRPr="001A14D2">
        <w:rPr>
          <w:rFonts w:cs="Times New Roman"/>
          <w:sz w:val="24"/>
          <w:szCs w:val="24"/>
        </w:rPr>
        <w:t xml:space="preserve">cember 31 of the calendar year. </w:t>
      </w:r>
    </w:p>
    <w:p w14:paraId="3A2479DE" w14:textId="77777777" w:rsidR="008E31E6" w:rsidRPr="001A14D2" w:rsidRDefault="00A669D4" w:rsidP="00A669D4">
      <w:pPr>
        <w:spacing w:after="0"/>
        <w:rPr>
          <w:rFonts w:cs="Times New Roman"/>
          <w:sz w:val="24"/>
          <w:szCs w:val="24"/>
        </w:rPr>
      </w:pPr>
      <w:r w:rsidRPr="001A14D2">
        <w:rPr>
          <w:rFonts w:cs="Times New Roman"/>
          <w:sz w:val="24"/>
          <w:szCs w:val="24"/>
          <w:u w:val="single"/>
        </w:rPr>
        <w:t>Further details of interest the fund:</w:t>
      </w:r>
      <w:r w:rsidRPr="001A14D2">
        <w:rPr>
          <w:rFonts w:cs="Times New Roman"/>
          <w:sz w:val="24"/>
          <w:szCs w:val="24"/>
        </w:rPr>
        <w:t xml:space="preserve"> remuneration po</w:t>
      </w:r>
      <w:r w:rsidR="008E31E6" w:rsidRPr="001A14D2">
        <w:rPr>
          <w:rFonts w:cs="Times New Roman"/>
          <w:sz w:val="24"/>
          <w:szCs w:val="24"/>
        </w:rPr>
        <w:t xml:space="preserve">licy of the Management Company: </w:t>
      </w:r>
      <w:r w:rsidRPr="001A14D2">
        <w:rPr>
          <w:rFonts w:cs="Times New Roman"/>
          <w:sz w:val="24"/>
          <w:szCs w:val="24"/>
        </w:rPr>
        <w:t>The management company conducts a remuneration policies, the general principles have been set by</w:t>
      </w:r>
      <w:r w:rsidR="008E31E6" w:rsidRPr="001A14D2">
        <w:rPr>
          <w:rFonts w:cs="Times New Roman"/>
          <w:sz w:val="24"/>
          <w:szCs w:val="24"/>
        </w:rPr>
        <w:t xml:space="preserve"> the management body. Happiness </w:t>
      </w:r>
      <w:r w:rsidRPr="001A14D2">
        <w:rPr>
          <w:rFonts w:cs="Times New Roman"/>
          <w:sz w:val="24"/>
          <w:szCs w:val="24"/>
        </w:rPr>
        <w:t xml:space="preserve">policy, which complies with the principles embodied in Article 46 of the CIS Act </w:t>
      </w:r>
      <w:proofErr w:type="gramStart"/>
      <w:r w:rsidRPr="001A14D2">
        <w:rPr>
          <w:rFonts w:cs="Times New Roman"/>
          <w:sz w:val="24"/>
          <w:szCs w:val="24"/>
        </w:rPr>
        <w:t>bis.2</w:t>
      </w:r>
      <w:proofErr w:type="gramEnd"/>
      <w:r w:rsidRPr="001A14D2">
        <w:rPr>
          <w:rFonts w:cs="Times New Roman"/>
          <w:sz w:val="24"/>
          <w:szCs w:val="24"/>
        </w:rPr>
        <w:t xml:space="preserve"> is consistent with sound an</w:t>
      </w:r>
      <w:r w:rsidR="008E31E6" w:rsidRPr="001A14D2">
        <w:rPr>
          <w:rFonts w:cs="Times New Roman"/>
          <w:sz w:val="24"/>
          <w:szCs w:val="24"/>
        </w:rPr>
        <w:t xml:space="preserve">d effective risk management and </w:t>
      </w:r>
      <w:r w:rsidRPr="001A14D2">
        <w:rPr>
          <w:rFonts w:cs="Times New Roman"/>
          <w:sz w:val="24"/>
          <w:szCs w:val="24"/>
        </w:rPr>
        <w:t>not conducive to taking risks inconsistent with the profile of the vehicles it manages. The d</w:t>
      </w:r>
      <w:r w:rsidR="008E31E6" w:rsidRPr="001A14D2">
        <w:rPr>
          <w:rFonts w:cs="Times New Roman"/>
          <w:sz w:val="24"/>
          <w:szCs w:val="24"/>
        </w:rPr>
        <w:t xml:space="preserve">etailed and updated information </w:t>
      </w:r>
      <w:r w:rsidRPr="001A14D2">
        <w:rPr>
          <w:rFonts w:cs="Times New Roman"/>
          <w:sz w:val="24"/>
          <w:szCs w:val="24"/>
        </w:rPr>
        <w:t>remuneration policy and the updated responsible for identifying calculation o</w:t>
      </w:r>
      <w:r w:rsidR="008E31E6" w:rsidRPr="001A14D2">
        <w:rPr>
          <w:rFonts w:cs="Times New Roman"/>
          <w:sz w:val="24"/>
          <w:szCs w:val="24"/>
        </w:rPr>
        <w:t xml:space="preserve">f remuneration and benefits can </w:t>
      </w:r>
      <w:r w:rsidRPr="001A14D2">
        <w:rPr>
          <w:rFonts w:cs="Times New Roman"/>
          <w:sz w:val="24"/>
          <w:szCs w:val="24"/>
        </w:rPr>
        <w:t>available on the website of the management company and obtained free of charge on paper app</w:t>
      </w:r>
      <w:r w:rsidR="008E31E6" w:rsidRPr="001A14D2">
        <w:rPr>
          <w:rFonts w:cs="Times New Roman"/>
          <w:sz w:val="24"/>
          <w:szCs w:val="24"/>
        </w:rPr>
        <w:t xml:space="preserve">lication. The SGIIC made public </w:t>
      </w:r>
      <w:r w:rsidRPr="001A14D2">
        <w:rPr>
          <w:rFonts w:cs="Times New Roman"/>
          <w:sz w:val="24"/>
          <w:szCs w:val="24"/>
        </w:rPr>
        <w:t>certain information about your remuneration policy through the annual report, in accordance with Article 46 of the CIS Act bis.1.</w:t>
      </w:r>
    </w:p>
    <w:p w14:paraId="2464057A" w14:textId="77777777" w:rsidR="008E31E6" w:rsidRPr="001A14D2" w:rsidRDefault="008E31E6" w:rsidP="008E31E6">
      <w:pPr>
        <w:spacing w:after="0"/>
        <w:rPr>
          <w:rFonts w:cs="Times New Roman"/>
          <w:sz w:val="24"/>
          <w:szCs w:val="24"/>
          <w:u w:val="single"/>
        </w:rPr>
      </w:pPr>
      <w:r w:rsidRPr="001A14D2">
        <w:rPr>
          <w:rFonts w:cs="Times New Roman"/>
          <w:sz w:val="24"/>
          <w:szCs w:val="24"/>
          <w:u w:val="single"/>
        </w:rPr>
        <w:t>Depositary:</w:t>
      </w:r>
    </w:p>
    <w:p w14:paraId="2C32EC44" w14:textId="77777777" w:rsidR="008E31E6" w:rsidRPr="001A14D2" w:rsidRDefault="008E31E6" w:rsidP="008E31E6">
      <w:pPr>
        <w:spacing w:after="0"/>
        <w:rPr>
          <w:rFonts w:cs="Times New Roman"/>
          <w:sz w:val="24"/>
          <w:szCs w:val="24"/>
        </w:rPr>
      </w:pPr>
      <w:r w:rsidRPr="001A14D2">
        <w:rPr>
          <w:rFonts w:cs="Times New Roman"/>
          <w:sz w:val="24"/>
          <w:szCs w:val="24"/>
        </w:rPr>
        <w:t xml:space="preserve">Of the depositary to exercise the functions of deposit (comprising the custody of financial instruments and </w:t>
      </w:r>
      <w:proofErr w:type="spellStart"/>
      <w:r w:rsidRPr="001A14D2">
        <w:rPr>
          <w:rFonts w:cs="Times New Roman"/>
          <w:sz w:val="24"/>
          <w:szCs w:val="24"/>
        </w:rPr>
        <w:t>custodiables</w:t>
      </w:r>
      <w:proofErr w:type="spellEnd"/>
      <w:r w:rsidRPr="001A14D2">
        <w:rPr>
          <w:rFonts w:cs="Times New Roman"/>
          <w:sz w:val="24"/>
          <w:szCs w:val="24"/>
        </w:rPr>
        <w:t xml:space="preserve"> registration of other assets) and administration of financial instruments of the Fund, cash control, settlement of Subscription and redemption of units, monitoring and supervision of the management of the Fund and any other established in the regulations. The Depositary has procedures that avoid conflicts of interest in the performance of their duties. </w:t>
      </w:r>
      <w:proofErr w:type="gramStart"/>
      <w:r w:rsidRPr="001A14D2">
        <w:rPr>
          <w:rFonts w:cs="Times New Roman"/>
          <w:sz w:val="24"/>
          <w:szCs w:val="24"/>
        </w:rPr>
        <w:t>delegation</w:t>
      </w:r>
      <w:proofErr w:type="gramEnd"/>
      <w:r w:rsidRPr="001A14D2">
        <w:rPr>
          <w:rFonts w:cs="Times New Roman"/>
          <w:sz w:val="24"/>
          <w:szCs w:val="24"/>
        </w:rPr>
        <w:t xml:space="preserve"> agreements functions deposit third parties may be adopted. Delegated functions, the entities those delegates and potential conflicts of interest, not solved through appropriate procedures for resolving conflicts, They posted on the website of the Manager. </w:t>
      </w:r>
      <w:proofErr w:type="gramStart"/>
      <w:r w:rsidRPr="001A14D2">
        <w:rPr>
          <w:rFonts w:cs="Times New Roman"/>
          <w:sz w:val="24"/>
          <w:szCs w:val="24"/>
        </w:rPr>
        <w:t>investors</w:t>
      </w:r>
      <w:proofErr w:type="gramEnd"/>
      <w:r w:rsidRPr="001A14D2">
        <w:rPr>
          <w:rFonts w:cs="Times New Roman"/>
          <w:sz w:val="24"/>
          <w:szCs w:val="24"/>
        </w:rPr>
        <w:t xml:space="preserve"> who request updated information on the functions of the depository of the IIC and the conflicting information will be provided concern arising on deposit any function delegated by the depositary, the list of third parties in you can delegate the function of deposit and potential conflicts of interest which might lead the delegation.</w:t>
      </w:r>
    </w:p>
    <w:p w14:paraId="389EC977" w14:textId="77777777" w:rsidR="008E31E6" w:rsidRPr="001A14D2" w:rsidRDefault="008E31E6" w:rsidP="008E31E6">
      <w:pPr>
        <w:spacing w:after="0"/>
        <w:rPr>
          <w:rFonts w:cs="Times New Roman"/>
          <w:sz w:val="24"/>
          <w:szCs w:val="24"/>
        </w:rPr>
      </w:pPr>
    </w:p>
    <w:p w14:paraId="3EA3AF20" w14:textId="77777777" w:rsidR="008E31E6" w:rsidRPr="001A14D2" w:rsidRDefault="008E31E6" w:rsidP="008E31E6">
      <w:pPr>
        <w:spacing w:after="0"/>
        <w:rPr>
          <w:rFonts w:cs="Times New Roman"/>
          <w:b/>
          <w:sz w:val="24"/>
          <w:szCs w:val="24"/>
        </w:rPr>
      </w:pPr>
      <w:r w:rsidRPr="001A14D2">
        <w:rPr>
          <w:rFonts w:cs="Times New Roman"/>
          <w:b/>
          <w:sz w:val="24"/>
          <w:szCs w:val="24"/>
        </w:rPr>
        <w:t>INFORMATION CONCERNING THE MANAGER AND RELATIONS WITH THE DEPOSITARY</w:t>
      </w:r>
    </w:p>
    <w:p w14:paraId="288230C0" w14:textId="77777777" w:rsidR="008E31E6" w:rsidRPr="001A14D2" w:rsidRDefault="008E31E6" w:rsidP="008E31E6">
      <w:pPr>
        <w:spacing w:after="0"/>
        <w:rPr>
          <w:rFonts w:cs="Times New Roman"/>
          <w:sz w:val="24"/>
          <w:szCs w:val="24"/>
        </w:rPr>
      </w:pPr>
      <w:r w:rsidRPr="001A14D2">
        <w:rPr>
          <w:rFonts w:cs="Times New Roman"/>
          <w:sz w:val="24"/>
          <w:szCs w:val="24"/>
          <w:u w:val="single"/>
        </w:rPr>
        <w:t>Year Founded:</w:t>
      </w:r>
      <w:r w:rsidRPr="001A14D2">
        <w:rPr>
          <w:rFonts w:cs="Times New Roman"/>
          <w:sz w:val="24"/>
          <w:szCs w:val="24"/>
        </w:rPr>
        <w:t xml:space="preserve"> 01/22/1989</w:t>
      </w:r>
    </w:p>
    <w:p w14:paraId="2594EC3A" w14:textId="77777777" w:rsidR="008E31E6" w:rsidRPr="001A14D2" w:rsidRDefault="008E31E6" w:rsidP="008E31E6">
      <w:pPr>
        <w:spacing w:after="0"/>
        <w:rPr>
          <w:rFonts w:cs="Times New Roman"/>
          <w:sz w:val="24"/>
          <w:szCs w:val="24"/>
        </w:rPr>
      </w:pPr>
      <w:r w:rsidRPr="001A14D2">
        <w:rPr>
          <w:rFonts w:cs="Times New Roman"/>
          <w:sz w:val="24"/>
          <w:szCs w:val="24"/>
          <w:u w:val="single"/>
        </w:rPr>
        <w:lastRenderedPageBreak/>
        <w:t xml:space="preserve">Date of registration and registration </w:t>
      </w:r>
      <w:proofErr w:type="gramStart"/>
      <w:r w:rsidRPr="001A14D2">
        <w:rPr>
          <w:rFonts w:cs="Times New Roman"/>
          <w:sz w:val="24"/>
          <w:szCs w:val="24"/>
          <w:u w:val="single"/>
        </w:rPr>
        <w:t>number :</w:t>
      </w:r>
      <w:proofErr w:type="gramEnd"/>
      <w:r w:rsidRPr="001A14D2">
        <w:rPr>
          <w:rFonts w:cs="Times New Roman"/>
          <w:sz w:val="24"/>
          <w:szCs w:val="24"/>
        </w:rPr>
        <w:t xml:space="preserve"> Registered dated 31/05/1989 and number 113 in the register of the CNMV.</w:t>
      </w:r>
    </w:p>
    <w:p w14:paraId="5D372291" w14:textId="77777777" w:rsidR="008E31E6" w:rsidRPr="001A14D2" w:rsidRDefault="008E31E6" w:rsidP="008E31E6">
      <w:pPr>
        <w:spacing w:after="0"/>
        <w:rPr>
          <w:rFonts w:cs="Times New Roman"/>
          <w:sz w:val="24"/>
          <w:szCs w:val="24"/>
        </w:rPr>
      </w:pPr>
      <w:r w:rsidRPr="001A14D2">
        <w:rPr>
          <w:rFonts w:cs="Times New Roman"/>
          <w:sz w:val="24"/>
          <w:szCs w:val="24"/>
          <w:u w:val="single"/>
        </w:rPr>
        <w:t>Registered address:</w:t>
      </w:r>
      <w:r w:rsidRPr="001A14D2">
        <w:rPr>
          <w:rFonts w:cs="Times New Roman"/>
          <w:sz w:val="24"/>
          <w:szCs w:val="24"/>
        </w:rPr>
        <w:t xml:space="preserve"> SERRANO 88, 5th Floor MADRID, Madrid Postal code 28006</w:t>
      </w:r>
    </w:p>
    <w:p w14:paraId="2736090B" w14:textId="77777777" w:rsidR="00DD5594" w:rsidRPr="001A14D2" w:rsidRDefault="008E31E6" w:rsidP="008E31E6">
      <w:pPr>
        <w:spacing w:after="0"/>
        <w:rPr>
          <w:rFonts w:cs="Times New Roman"/>
          <w:sz w:val="24"/>
          <w:szCs w:val="24"/>
        </w:rPr>
      </w:pPr>
      <w:r w:rsidRPr="001A14D2">
        <w:rPr>
          <w:rFonts w:cs="Times New Roman"/>
          <w:sz w:val="24"/>
          <w:szCs w:val="24"/>
        </w:rPr>
        <w:t xml:space="preserve">As indicated in the Registers of the </w:t>
      </w:r>
      <w:proofErr w:type="gramStart"/>
      <w:r w:rsidRPr="001A14D2">
        <w:rPr>
          <w:rFonts w:cs="Times New Roman"/>
          <w:sz w:val="24"/>
          <w:szCs w:val="24"/>
        </w:rPr>
        <w:t>CNMV ,</w:t>
      </w:r>
      <w:proofErr w:type="gramEnd"/>
      <w:r w:rsidRPr="001A14D2">
        <w:rPr>
          <w:rFonts w:cs="Times New Roman"/>
          <w:sz w:val="24"/>
          <w:szCs w:val="24"/>
        </w:rPr>
        <w:t xml:space="preserve"> the subscribed capital </w:t>
      </w:r>
      <w:r w:rsidR="00517DC2" w:rsidRPr="001A14D2">
        <w:rPr>
          <w:rFonts w:cs="Times New Roman"/>
          <w:sz w:val="24"/>
          <w:szCs w:val="24"/>
        </w:rPr>
        <w:t xml:space="preserve">amounts to 24,881,339.90 euros. </w:t>
      </w:r>
      <w:r w:rsidRPr="001A14D2">
        <w:rPr>
          <w:rFonts w:cs="Times New Roman"/>
          <w:sz w:val="24"/>
          <w:szCs w:val="24"/>
        </w:rPr>
        <w:t xml:space="preserve">Significant holdings of the management company can be consulted in the CNMV Registers where it is </w:t>
      </w:r>
      <w:proofErr w:type="gramStart"/>
      <w:r w:rsidRPr="001A14D2">
        <w:rPr>
          <w:rFonts w:cs="Times New Roman"/>
          <w:sz w:val="24"/>
          <w:szCs w:val="24"/>
        </w:rPr>
        <w:t>registered .</w:t>
      </w:r>
      <w:proofErr w:type="gramEnd"/>
    </w:p>
    <w:p w14:paraId="5F05A1D8" w14:textId="77777777" w:rsidR="008E31E6" w:rsidRPr="001A14D2" w:rsidRDefault="008E31E6" w:rsidP="008E31E6">
      <w:pPr>
        <w:spacing w:after="0"/>
        <w:rPr>
          <w:rFonts w:cs="Times New Roman"/>
          <w:sz w:val="24"/>
          <w:szCs w:val="24"/>
        </w:rPr>
      </w:pPr>
      <w:r w:rsidRPr="001A14D2">
        <w:rPr>
          <w:rFonts w:cs="Times New Roman"/>
          <w:sz w:val="24"/>
          <w:szCs w:val="24"/>
          <w:u w:val="single"/>
        </w:rPr>
        <w:t>Delegation of functions of internal control and management of the Management Company:</w:t>
      </w:r>
      <w:r w:rsidRPr="001A14D2">
        <w:rPr>
          <w:rFonts w:cs="Times New Roman"/>
          <w:sz w:val="24"/>
          <w:szCs w:val="24"/>
        </w:rPr>
        <w:t xml:space="preserve"> The Management Company has delegated the following functions relating to internal control of some or all of the CIS it manages</w:t>
      </w:r>
    </w:p>
    <w:p w14:paraId="761EB3CE" w14:textId="77777777" w:rsidR="008E31E6" w:rsidRPr="001A14D2" w:rsidRDefault="008E31E6" w:rsidP="008E31E6">
      <w:pPr>
        <w:spacing w:after="0"/>
        <w:rPr>
          <w:rFonts w:cs="Times New Roman"/>
          <w:sz w:val="24"/>
          <w:szCs w:val="24"/>
        </w:rPr>
      </w:pPr>
    </w:p>
    <w:tbl>
      <w:tblPr>
        <w:tblStyle w:val="TableGrid"/>
        <w:tblW w:w="0" w:type="auto"/>
        <w:tblLook w:val="04A0" w:firstRow="1" w:lastRow="0" w:firstColumn="1" w:lastColumn="0" w:noHBand="0" w:noVBand="1"/>
      </w:tblPr>
      <w:tblGrid>
        <w:gridCol w:w="3798"/>
        <w:gridCol w:w="5778"/>
      </w:tblGrid>
      <w:tr w:rsidR="008E31E6" w:rsidRPr="001A14D2" w14:paraId="0498F9D5" w14:textId="77777777" w:rsidTr="008E31E6">
        <w:tc>
          <w:tcPr>
            <w:tcW w:w="3798" w:type="dxa"/>
          </w:tcPr>
          <w:p w14:paraId="12E4EBF6" w14:textId="77777777" w:rsidR="008E31E6" w:rsidRPr="001A14D2" w:rsidRDefault="008E31E6" w:rsidP="008E31E6">
            <w:pPr>
              <w:rPr>
                <w:rFonts w:cs="Times New Roman"/>
                <w:b/>
                <w:sz w:val="24"/>
                <w:szCs w:val="24"/>
              </w:rPr>
            </w:pPr>
            <w:r w:rsidRPr="001A14D2">
              <w:rPr>
                <w:rFonts w:cs="Times New Roman"/>
                <w:b/>
                <w:sz w:val="24"/>
                <w:szCs w:val="24"/>
              </w:rPr>
              <w:t>DELEGATED FUNCTIONS</w:t>
            </w:r>
          </w:p>
        </w:tc>
        <w:tc>
          <w:tcPr>
            <w:tcW w:w="5778" w:type="dxa"/>
          </w:tcPr>
          <w:p w14:paraId="733CF53C" w14:textId="77777777" w:rsidR="008E31E6" w:rsidRPr="001A14D2" w:rsidRDefault="008E31E6" w:rsidP="008E31E6">
            <w:pPr>
              <w:rPr>
                <w:rFonts w:cs="Times New Roman"/>
                <w:b/>
                <w:sz w:val="24"/>
                <w:szCs w:val="24"/>
              </w:rPr>
            </w:pPr>
            <w:r w:rsidRPr="001A14D2">
              <w:rPr>
                <w:rFonts w:cs="Times New Roman"/>
                <w:b/>
                <w:sz w:val="24"/>
                <w:szCs w:val="24"/>
              </w:rPr>
              <w:t>ENTITY WHICH DELEGATES INTERNAL AUDIT</w:t>
            </w:r>
          </w:p>
        </w:tc>
      </w:tr>
      <w:tr w:rsidR="008E31E6" w:rsidRPr="001A14D2" w14:paraId="1A5D6C8B" w14:textId="77777777" w:rsidTr="008E31E6">
        <w:tc>
          <w:tcPr>
            <w:tcW w:w="3798" w:type="dxa"/>
          </w:tcPr>
          <w:p w14:paraId="7BB51DBE" w14:textId="77777777" w:rsidR="008E31E6" w:rsidRPr="001A14D2" w:rsidRDefault="008E31E6" w:rsidP="008E31E6">
            <w:pPr>
              <w:rPr>
                <w:rFonts w:cs="Times New Roman"/>
                <w:sz w:val="24"/>
                <w:szCs w:val="24"/>
              </w:rPr>
            </w:pPr>
            <w:r w:rsidRPr="001A14D2">
              <w:rPr>
                <w:rFonts w:cs="Times New Roman"/>
                <w:sz w:val="24"/>
                <w:szCs w:val="24"/>
              </w:rPr>
              <w:t>Internal Audit</w:t>
            </w:r>
          </w:p>
        </w:tc>
        <w:tc>
          <w:tcPr>
            <w:tcW w:w="5778" w:type="dxa"/>
          </w:tcPr>
          <w:p w14:paraId="6E42F928" w14:textId="77777777" w:rsidR="008E31E6" w:rsidRPr="001A14D2" w:rsidRDefault="008E31E6" w:rsidP="008E31E6">
            <w:pPr>
              <w:rPr>
                <w:rFonts w:cs="Times New Roman"/>
                <w:sz w:val="24"/>
                <w:szCs w:val="24"/>
              </w:rPr>
            </w:pPr>
            <w:r w:rsidRPr="001A14D2">
              <w:rPr>
                <w:rFonts w:cs="Times New Roman"/>
                <w:sz w:val="24"/>
                <w:szCs w:val="24"/>
              </w:rPr>
              <w:t>INTERNAL AUDIT AND FINANCIAL CONTROL, S.L.</w:t>
            </w:r>
          </w:p>
        </w:tc>
      </w:tr>
    </w:tbl>
    <w:p w14:paraId="0D19D176" w14:textId="77777777" w:rsidR="008E31E6" w:rsidRPr="001A14D2" w:rsidRDefault="008E31E6" w:rsidP="008E31E6">
      <w:pPr>
        <w:spacing w:after="0"/>
        <w:rPr>
          <w:rFonts w:cs="Times New Roman"/>
          <w:sz w:val="24"/>
          <w:szCs w:val="24"/>
        </w:rPr>
      </w:pPr>
    </w:p>
    <w:p w14:paraId="328561DA" w14:textId="77777777" w:rsidR="008E31E6" w:rsidRPr="001A14D2" w:rsidRDefault="008E31E6" w:rsidP="008E31E6">
      <w:pPr>
        <w:spacing w:after="0"/>
        <w:rPr>
          <w:rFonts w:cs="Times New Roman"/>
          <w:sz w:val="24"/>
          <w:szCs w:val="24"/>
        </w:rPr>
      </w:pPr>
      <w:r w:rsidRPr="001A14D2">
        <w:rPr>
          <w:rFonts w:cs="Times New Roman"/>
          <w:sz w:val="24"/>
          <w:szCs w:val="24"/>
        </w:rPr>
        <w:t>The Management Company has delegated to the type of fund to which this prospectus relates the following functions administration:</w:t>
      </w:r>
    </w:p>
    <w:tbl>
      <w:tblPr>
        <w:tblStyle w:val="TableGrid"/>
        <w:tblW w:w="0" w:type="auto"/>
        <w:tblLook w:val="04A0" w:firstRow="1" w:lastRow="0" w:firstColumn="1" w:lastColumn="0" w:noHBand="0" w:noVBand="1"/>
      </w:tblPr>
      <w:tblGrid>
        <w:gridCol w:w="4788"/>
        <w:gridCol w:w="4788"/>
      </w:tblGrid>
      <w:tr w:rsidR="008E31E6" w:rsidRPr="001A14D2" w14:paraId="2CEDEA67" w14:textId="77777777" w:rsidTr="008E31E6">
        <w:tc>
          <w:tcPr>
            <w:tcW w:w="4788" w:type="dxa"/>
          </w:tcPr>
          <w:p w14:paraId="4207B4B3" w14:textId="77777777" w:rsidR="008E31E6" w:rsidRPr="001A14D2" w:rsidRDefault="008E31E6" w:rsidP="008E31E6">
            <w:pPr>
              <w:rPr>
                <w:rFonts w:cs="Times New Roman"/>
                <w:b/>
                <w:sz w:val="24"/>
                <w:szCs w:val="24"/>
              </w:rPr>
            </w:pPr>
            <w:r w:rsidRPr="001A14D2">
              <w:rPr>
                <w:rFonts w:cs="Times New Roman"/>
                <w:b/>
                <w:sz w:val="24"/>
                <w:szCs w:val="24"/>
              </w:rPr>
              <w:t>DELEGATED FUNCTIONS</w:t>
            </w:r>
          </w:p>
        </w:tc>
        <w:tc>
          <w:tcPr>
            <w:tcW w:w="4788" w:type="dxa"/>
          </w:tcPr>
          <w:p w14:paraId="3CABFBF6" w14:textId="77777777" w:rsidR="008E31E6" w:rsidRPr="001A14D2" w:rsidRDefault="00CA7E87" w:rsidP="008E31E6">
            <w:pPr>
              <w:rPr>
                <w:rFonts w:cs="Times New Roman"/>
                <w:b/>
                <w:sz w:val="24"/>
                <w:szCs w:val="24"/>
              </w:rPr>
            </w:pPr>
            <w:r w:rsidRPr="001A14D2">
              <w:rPr>
                <w:rFonts w:cs="Times New Roman"/>
                <w:b/>
                <w:sz w:val="24"/>
                <w:szCs w:val="24"/>
              </w:rPr>
              <w:t>ENTITY IN WHICH DELEGATES</w:t>
            </w:r>
          </w:p>
        </w:tc>
      </w:tr>
      <w:tr w:rsidR="008E31E6" w:rsidRPr="001A14D2" w14:paraId="050CADFE" w14:textId="77777777" w:rsidTr="008E31E6">
        <w:tc>
          <w:tcPr>
            <w:tcW w:w="4788" w:type="dxa"/>
          </w:tcPr>
          <w:p w14:paraId="3E4649AF" w14:textId="77777777" w:rsidR="008E31E6" w:rsidRPr="001A14D2" w:rsidRDefault="008E31E6" w:rsidP="008E31E6">
            <w:pPr>
              <w:rPr>
                <w:rFonts w:cs="Times New Roman"/>
                <w:sz w:val="24"/>
                <w:szCs w:val="24"/>
              </w:rPr>
            </w:pPr>
            <w:r w:rsidRPr="001A14D2">
              <w:rPr>
                <w:rFonts w:cs="Times New Roman"/>
                <w:sz w:val="24"/>
                <w:szCs w:val="24"/>
              </w:rPr>
              <w:t>Legal and accounting services in relation to the management</w:t>
            </w:r>
          </w:p>
        </w:tc>
        <w:tc>
          <w:tcPr>
            <w:tcW w:w="4788" w:type="dxa"/>
          </w:tcPr>
          <w:p w14:paraId="2985975E" w14:textId="77777777" w:rsidR="008E31E6" w:rsidRPr="001A14D2" w:rsidRDefault="008E31E6" w:rsidP="008E31E6">
            <w:pPr>
              <w:rPr>
                <w:rFonts w:cs="Times New Roman"/>
                <w:sz w:val="24"/>
                <w:szCs w:val="24"/>
              </w:rPr>
            </w:pPr>
            <w:r w:rsidRPr="001A14D2">
              <w:rPr>
                <w:rFonts w:cs="Times New Roman"/>
                <w:sz w:val="24"/>
                <w:szCs w:val="24"/>
              </w:rPr>
              <w:t>NOVO VANGUARDA, S.L.</w:t>
            </w:r>
          </w:p>
        </w:tc>
      </w:tr>
      <w:tr w:rsidR="008E31E6" w:rsidRPr="001A14D2" w14:paraId="1C2C9C13" w14:textId="77777777" w:rsidTr="008E31E6">
        <w:tc>
          <w:tcPr>
            <w:tcW w:w="4788" w:type="dxa"/>
          </w:tcPr>
          <w:p w14:paraId="527BAFA1" w14:textId="77777777" w:rsidR="008E31E6" w:rsidRPr="001A14D2" w:rsidRDefault="008E31E6" w:rsidP="008E31E6">
            <w:pPr>
              <w:rPr>
                <w:rFonts w:cs="Times New Roman"/>
                <w:sz w:val="24"/>
                <w:szCs w:val="24"/>
              </w:rPr>
            </w:pPr>
            <w:r w:rsidRPr="001A14D2">
              <w:rPr>
                <w:rFonts w:cs="Times New Roman"/>
                <w:sz w:val="24"/>
                <w:szCs w:val="24"/>
              </w:rPr>
              <w:t>Valuation and NAV calculation , including system taxation applicable</w:t>
            </w:r>
          </w:p>
        </w:tc>
        <w:tc>
          <w:tcPr>
            <w:tcW w:w="4788" w:type="dxa"/>
          </w:tcPr>
          <w:p w14:paraId="6E0DA2D4" w14:textId="77777777" w:rsidR="008E31E6" w:rsidRPr="001A14D2" w:rsidRDefault="008E31E6" w:rsidP="008E31E6">
            <w:pPr>
              <w:rPr>
                <w:rFonts w:cs="Times New Roman"/>
                <w:sz w:val="24"/>
                <w:szCs w:val="24"/>
              </w:rPr>
            </w:pPr>
            <w:r w:rsidRPr="001A14D2">
              <w:rPr>
                <w:rFonts w:cs="Times New Roman"/>
                <w:sz w:val="24"/>
                <w:szCs w:val="24"/>
              </w:rPr>
              <w:t>NOVO VANGUARDA, S.L.</w:t>
            </w:r>
          </w:p>
        </w:tc>
      </w:tr>
      <w:tr w:rsidR="008E31E6" w:rsidRPr="001A14D2" w14:paraId="7E595911" w14:textId="77777777" w:rsidTr="008E31E6">
        <w:tc>
          <w:tcPr>
            <w:tcW w:w="4788" w:type="dxa"/>
          </w:tcPr>
          <w:p w14:paraId="766C3E85" w14:textId="77777777" w:rsidR="008E31E6" w:rsidRPr="001A14D2" w:rsidRDefault="008E31E6" w:rsidP="008E31E6">
            <w:pPr>
              <w:rPr>
                <w:rFonts w:cs="Times New Roman"/>
                <w:sz w:val="24"/>
                <w:szCs w:val="24"/>
              </w:rPr>
            </w:pPr>
            <w:r w:rsidRPr="001A14D2">
              <w:rPr>
                <w:rFonts w:cs="Times New Roman"/>
                <w:sz w:val="24"/>
                <w:szCs w:val="24"/>
              </w:rPr>
              <w:t>Control of compliance with the applicable regulations</w:t>
            </w:r>
          </w:p>
        </w:tc>
        <w:tc>
          <w:tcPr>
            <w:tcW w:w="4788" w:type="dxa"/>
          </w:tcPr>
          <w:p w14:paraId="31A7684E" w14:textId="77777777" w:rsidR="008E31E6" w:rsidRPr="001A14D2" w:rsidRDefault="008E31E6" w:rsidP="008E31E6">
            <w:pPr>
              <w:rPr>
                <w:rFonts w:cs="Times New Roman"/>
                <w:sz w:val="24"/>
                <w:szCs w:val="24"/>
              </w:rPr>
            </w:pPr>
            <w:r w:rsidRPr="001A14D2">
              <w:rPr>
                <w:rFonts w:cs="Times New Roman"/>
                <w:sz w:val="24"/>
                <w:szCs w:val="24"/>
              </w:rPr>
              <w:t>NOVO VANGUARDA, S.L.</w:t>
            </w:r>
          </w:p>
        </w:tc>
      </w:tr>
      <w:tr w:rsidR="008E31E6" w:rsidRPr="001A14D2" w14:paraId="1CA890E1" w14:textId="77777777" w:rsidTr="008E31E6">
        <w:tc>
          <w:tcPr>
            <w:tcW w:w="4788" w:type="dxa"/>
          </w:tcPr>
          <w:p w14:paraId="44BACE1F" w14:textId="77777777" w:rsidR="008E31E6" w:rsidRPr="001A14D2" w:rsidRDefault="008E31E6" w:rsidP="008E31E6">
            <w:pPr>
              <w:rPr>
                <w:rFonts w:cs="Times New Roman"/>
                <w:sz w:val="24"/>
                <w:szCs w:val="24"/>
              </w:rPr>
            </w:pPr>
            <w:r w:rsidRPr="001A14D2">
              <w:rPr>
                <w:rFonts w:cs="Times New Roman"/>
                <w:sz w:val="24"/>
                <w:szCs w:val="24"/>
              </w:rPr>
              <w:t>Other management tasks</w:t>
            </w:r>
          </w:p>
        </w:tc>
        <w:tc>
          <w:tcPr>
            <w:tcW w:w="4788" w:type="dxa"/>
          </w:tcPr>
          <w:p w14:paraId="4D82594C" w14:textId="77777777" w:rsidR="008E31E6" w:rsidRPr="001A14D2" w:rsidRDefault="008E31E6" w:rsidP="008E31E6">
            <w:pPr>
              <w:rPr>
                <w:rFonts w:cs="Times New Roman"/>
                <w:sz w:val="24"/>
                <w:szCs w:val="24"/>
              </w:rPr>
            </w:pPr>
            <w:r w:rsidRPr="001A14D2">
              <w:rPr>
                <w:rFonts w:cs="Times New Roman"/>
                <w:sz w:val="24"/>
                <w:szCs w:val="24"/>
              </w:rPr>
              <w:t>NOVO VANGUARDA, S.L.</w:t>
            </w:r>
          </w:p>
        </w:tc>
      </w:tr>
    </w:tbl>
    <w:p w14:paraId="09CABA2B" w14:textId="77777777" w:rsidR="008E31E6" w:rsidRPr="001A14D2" w:rsidRDefault="008E31E6" w:rsidP="008E31E6">
      <w:pPr>
        <w:spacing w:after="0"/>
        <w:rPr>
          <w:rFonts w:cs="Times New Roman"/>
          <w:sz w:val="24"/>
          <w:szCs w:val="24"/>
        </w:rPr>
      </w:pPr>
    </w:p>
    <w:p w14:paraId="4154C077" w14:textId="77777777" w:rsidR="008E31E6" w:rsidRPr="001A14D2" w:rsidRDefault="008E31E6" w:rsidP="008E31E6">
      <w:pPr>
        <w:spacing w:after="0"/>
        <w:rPr>
          <w:rFonts w:cs="Times New Roman"/>
          <w:sz w:val="24"/>
          <w:szCs w:val="24"/>
        </w:rPr>
      </w:pPr>
      <w:r w:rsidRPr="001A14D2">
        <w:rPr>
          <w:rFonts w:cs="Times New Roman"/>
          <w:sz w:val="24"/>
          <w:szCs w:val="24"/>
        </w:rPr>
        <w:t xml:space="preserve">The </w:t>
      </w:r>
      <w:proofErr w:type="gramStart"/>
      <w:r w:rsidRPr="001A14D2">
        <w:rPr>
          <w:rFonts w:cs="Times New Roman"/>
          <w:sz w:val="24"/>
          <w:szCs w:val="24"/>
        </w:rPr>
        <w:t>delegation of functions by the SGIIC not limit</w:t>
      </w:r>
      <w:proofErr w:type="gramEnd"/>
      <w:r w:rsidRPr="001A14D2">
        <w:rPr>
          <w:rFonts w:cs="Times New Roman"/>
          <w:sz w:val="24"/>
          <w:szCs w:val="24"/>
        </w:rPr>
        <w:t xml:space="preserve"> his liability for compliance with established obligations in laws and regulations concerning the delegated activities.</w:t>
      </w:r>
    </w:p>
    <w:p w14:paraId="6B685B96" w14:textId="77777777" w:rsidR="008E31E6" w:rsidRPr="001A14D2" w:rsidRDefault="008E31E6" w:rsidP="008E31E6">
      <w:pPr>
        <w:spacing w:after="0"/>
        <w:rPr>
          <w:rFonts w:cs="Times New Roman"/>
          <w:sz w:val="24"/>
          <w:szCs w:val="24"/>
        </w:rPr>
      </w:pPr>
    </w:p>
    <w:p w14:paraId="1D8E78D7" w14:textId="77777777" w:rsidR="008E31E6" w:rsidRPr="001A14D2" w:rsidRDefault="008E31E6" w:rsidP="008E31E6">
      <w:pPr>
        <w:spacing w:after="0"/>
        <w:rPr>
          <w:rFonts w:cs="Times New Roman"/>
          <w:b/>
          <w:sz w:val="24"/>
          <w:szCs w:val="24"/>
        </w:rPr>
      </w:pPr>
      <w:r w:rsidRPr="001A14D2">
        <w:rPr>
          <w:rFonts w:cs="Times New Roman"/>
          <w:b/>
          <w:sz w:val="24"/>
          <w:szCs w:val="24"/>
        </w:rPr>
        <w:t>Information on related party transactions:</w:t>
      </w:r>
    </w:p>
    <w:p w14:paraId="7DBE8095" w14:textId="77777777" w:rsidR="008E31E6" w:rsidRPr="001A14D2" w:rsidRDefault="008E31E6" w:rsidP="008E31E6">
      <w:pPr>
        <w:spacing w:after="0"/>
        <w:rPr>
          <w:rFonts w:cs="Times New Roman"/>
          <w:sz w:val="24"/>
          <w:szCs w:val="24"/>
        </w:rPr>
      </w:pPr>
      <w:r w:rsidRPr="001A14D2">
        <w:rPr>
          <w:rFonts w:cs="Times New Roman"/>
          <w:sz w:val="24"/>
          <w:szCs w:val="24"/>
        </w:rPr>
        <w:t xml:space="preserve">The Manager may make on behalf of the institution operations linked to those provided in Article 67 of the CIS Act. For thereby Manager has adopted procedures set out in its internal code of conduct to prevent conflicts of interest and ensure that related party transactions are conducted solely in the interests of the Institution and at prices or on the same terms or better than the market.  Periodic reports will include information on related party transactions made. Assuming the Management Company has delegated to a third entity any of its functions, the periodic reports include the possible related party transactions carried out on behalf of the fund with such third entity or related entities. </w:t>
      </w:r>
      <w:proofErr w:type="gramStart"/>
      <w:r w:rsidRPr="001A14D2">
        <w:rPr>
          <w:rFonts w:cs="Times New Roman"/>
          <w:sz w:val="24"/>
          <w:szCs w:val="24"/>
        </w:rPr>
        <w:t>internal</w:t>
      </w:r>
      <w:proofErr w:type="gramEnd"/>
      <w:r w:rsidRPr="001A14D2">
        <w:rPr>
          <w:rFonts w:cs="Times New Roman"/>
          <w:sz w:val="24"/>
          <w:szCs w:val="24"/>
        </w:rPr>
        <w:t xml:space="preserve"> control systems market depth:</w:t>
      </w:r>
    </w:p>
    <w:p w14:paraId="1057C1FA" w14:textId="77777777" w:rsidR="008E31E6" w:rsidRPr="001A14D2" w:rsidRDefault="008E31E6" w:rsidP="008E31E6">
      <w:pPr>
        <w:spacing w:after="0"/>
        <w:rPr>
          <w:rFonts w:cs="Times New Roman"/>
          <w:sz w:val="24"/>
          <w:szCs w:val="24"/>
        </w:rPr>
      </w:pPr>
      <w:r w:rsidRPr="001A14D2">
        <w:rPr>
          <w:rFonts w:cs="Times New Roman"/>
          <w:sz w:val="24"/>
          <w:szCs w:val="24"/>
        </w:rPr>
        <w:lastRenderedPageBreak/>
        <w:t>The SGIIC has internal control systems market depth of the values ​​on which the CIS invests considering the usual negotiation and the volume invested in order to ensure an orderly liquidation of the positions of the IIC through normal trading mechanisms.</w:t>
      </w:r>
    </w:p>
    <w:p w14:paraId="11B95263" w14:textId="77777777" w:rsidR="008E31E6" w:rsidRPr="001A14D2" w:rsidRDefault="008E31E6" w:rsidP="008E31E6">
      <w:pPr>
        <w:spacing w:after="0"/>
        <w:rPr>
          <w:rFonts w:cs="Times New Roman"/>
          <w:sz w:val="24"/>
          <w:szCs w:val="24"/>
        </w:rPr>
      </w:pPr>
    </w:p>
    <w:p w14:paraId="0D9A6D25" w14:textId="77777777" w:rsidR="008E31E6" w:rsidRPr="001A14D2" w:rsidRDefault="008E31E6" w:rsidP="008E31E6">
      <w:pPr>
        <w:spacing w:after="0"/>
        <w:rPr>
          <w:rFonts w:cs="Times New Roman"/>
          <w:b/>
          <w:sz w:val="24"/>
          <w:szCs w:val="24"/>
        </w:rPr>
      </w:pPr>
      <w:r w:rsidRPr="001A14D2">
        <w:rPr>
          <w:rFonts w:cs="Times New Roman"/>
          <w:b/>
          <w:sz w:val="24"/>
          <w:szCs w:val="24"/>
        </w:rPr>
        <w:t>Information about Members of the Board:</w:t>
      </w:r>
    </w:p>
    <w:p w14:paraId="7859DB5C" w14:textId="77777777" w:rsidR="008E31E6" w:rsidRPr="001A14D2" w:rsidRDefault="008E31E6" w:rsidP="008E31E6">
      <w:pPr>
        <w:pStyle w:val="HTMLPreformatted"/>
        <w:jc w:val="both"/>
        <w:rPr>
          <w:rFonts w:asciiTheme="minorHAnsi" w:eastAsiaTheme="minorHAnsi" w:hAnsiTheme="minorHAnsi" w:cs="Times New Roman"/>
          <w:sz w:val="24"/>
          <w:szCs w:val="24"/>
        </w:rPr>
      </w:pPr>
    </w:p>
    <w:tbl>
      <w:tblPr>
        <w:tblStyle w:val="TableGrid"/>
        <w:tblW w:w="0" w:type="auto"/>
        <w:tblLook w:val="04A0" w:firstRow="1" w:lastRow="0" w:firstColumn="1" w:lastColumn="0" w:noHBand="0" w:noVBand="1"/>
      </w:tblPr>
      <w:tblGrid>
        <w:gridCol w:w="2444"/>
        <w:gridCol w:w="2500"/>
        <w:gridCol w:w="2547"/>
        <w:gridCol w:w="2085"/>
      </w:tblGrid>
      <w:tr w:rsidR="004119B9" w:rsidRPr="001A14D2" w14:paraId="7687E509" w14:textId="77777777" w:rsidTr="004119B9">
        <w:tc>
          <w:tcPr>
            <w:tcW w:w="2444" w:type="dxa"/>
          </w:tcPr>
          <w:p w14:paraId="2A415E18" w14:textId="77777777" w:rsidR="004119B9" w:rsidRPr="001A14D2" w:rsidRDefault="004119B9" w:rsidP="008E31E6">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Position / Function</w:t>
            </w:r>
          </w:p>
          <w:p w14:paraId="28C39A5C" w14:textId="77777777" w:rsidR="004119B9" w:rsidRPr="001A14D2" w:rsidRDefault="004119B9" w:rsidP="008E31E6">
            <w:pPr>
              <w:pStyle w:val="HTMLPreformatted"/>
              <w:jc w:val="both"/>
              <w:rPr>
                <w:rFonts w:asciiTheme="minorHAnsi" w:eastAsiaTheme="minorHAnsi" w:hAnsiTheme="minorHAnsi" w:cs="Times New Roman"/>
                <w:b/>
                <w:sz w:val="24"/>
                <w:szCs w:val="24"/>
              </w:rPr>
            </w:pPr>
          </w:p>
        </w:tc>
        <w:tc>
          <w:tcPr>
            <w:tcW w:w="2500" w:type="dxa"/>
          </w:tcPr>
          <w:p w14:paraId="73057484" w14:textId="77777777" w:rsidR="004119B9" w:rsidRPr="001A14D2" w:rsidRDefault="004119B9" w:rsidP="008E31E6">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Name</w:t>
            </w:r>
          </w:p>
        </w:tc>
        <w:tc>
          <w:tcPr>
            <w:tcW w:w="2547" w:type="dxa"/>
          </w:tcPr>
          <w:p w14:paraId="3353D587" w14:textId="77777777" w:rsidR="004119B9" w:rsidRPr="001A14D2" w:rsidRDefault="004119B9" w:rsidP="008E31E6">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Represented by</w:t>
            </w:r>
          </w:p>
          <w:p w14:paraId="32337356" w14:textId="77777777" w:rsidR="004119B9" w:rsidRPr="001A14D2" w:rsidRDefault="004119B9" w:rsidP="008E31E6">
            <w:pPr>
              <w:pStyle w:val="HTMLPreformatted"/>
              <w:jc w:val="both"/>
              <w:rPr>
                <w:rFonts w:asciiTheme="minorHAnsi" w:eastAsiaTheme="minorHAnsi" w:hAnsiTheme="minorHAnsi" w:cs="Times New Roman"/>
                <w:b/>
                <w:sz w:val="24"/>
                <w:szCs w:val="24"/>
              </w:rPr>
            </w:pPr>
          </w:p>
        </w:tc>
        <w:tc>
          <w:tcPr>
            <w:tcW w:w="2085" w:type="dxa"/>
          </w:tcPr>
          <w:p w14:paraId="7ADC752B" w14:textId="77777777" w:rsidR="004119B9" w:rsidRPr="001A14D2" w:rsidRDefault="004119B9" w:rsidP="008E31E6">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Date of Appointment</w:t>
            </w:r>
          </w:p>
        </w:tc>
      </w:tr>
      <w:tr w:rsidR="004119B9" w:rsidRPr="001A14D2" w14:paraId="7A0358D0" w14:textId="77777777" w:rsidTr="004119B9">
        <w:tc>
          <w:tcPr>
            <w:tcW w:w="2444" w:type="dxa"/>
          </w:tcPr>
          <w:p w14:paraId="566A7232"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President </w:t>
            </w:r>
          </w:p>
        </w:tc>
        <w:tc>
          <w:tcPr>
            <w:tcW w:w="2500" w:type="dxa"/>
          </w:tcPr>
          <w:p w14:paraId="4CABBF9B" w14:textId="77777777" w:rsidR="004119B9" w:rsidRPr="001A14D2" w:rsidRDefault="004119B9" w:rsidP="004119B9">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FERNANDO FONSECA</w:t>
            </w:r>
          </w:p>
          <w:p w14:paraId="73E2762C" w14:textId="77777777" w:rsidR="004119B9" w:rsidRPr="001A14D2" w:rsidRDefault="004119B9" w:rsidP="004119B9">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CRISTINO COELHO</w:t>
            </w:r>
          </w:p>
        </w:tc>
        <w:tc>
          <w:tcPr>
            <w:tcW w:w="2547" w:type="dxa"/>
          </w:tcPr>
          <w:p w14:paraId="51DC6028" w14:textId="77777777" w:rsidR="004119B9" w:rsidRPr="001A14D2" w:rsidRDefault="004119B9" w:rsidP="004119B9">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FERNANDO FONSECA</w:t>
            </w:r>
          </w:p>
          <w:p w14:paraId="0E61C736" w14:textId="77777777" w:rsidR="004119B9" w:rsidRPr="001A14D2" w:rsidRDefault="004119B9" w:rsidP="004119B9">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CRISTINO COELHO</w:t>
            </w:r>
          </w:p>
        </w:tc>
        <w:tc>
          <w:tcPr>
            <w:tcW w:w="2085" w:type="dxa"/>
          </w:tcPr>
          <w:p w14:paraId="58240C93"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19/10/2004</w:t>
            </w:r>
          </w:p>
        </w:tc>
      </w:tr>
      <w:tr w:rsidR="004119B9" w:rsidRPr="001A14D2" w14:paraId="195B4725" w14:textId="77777777" w:rsidTr="004119B9">
        <w:tc>
          <w:tcPr>
            <w:tcW w:w="2444" w:type="dxa"/>
          </w:tcPr>
          <w:p w14:paraId="6D73159A"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Managing Director</w:t>
            </w:r>
          </w:p>
        </w:tc>
        <w:tc>
          <w:tcPr>
            <w:tcW w:w="2500" w:type="dxa"/>
          </w:tcPr>
          <w:p w14:paraId="7310A077"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ENRIQUE CABANAS BERDICES</w:t>
            </w:r>
          </w:p>
        </w:tc>
        <w:tc>
          <w:tcPr>
            <w:tcW w:w="2547" w:type="dxa"/>
          </w:tcPr>
          <w:p w14:paraId="5FE8E83E"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ENRIQUE CABANAS BERDICES</w:t>
            </w:r>
          </w:p>
        </w:tc>
        <w:tc>
          <w:tcPr>
            <w:tcW w:w="2085" w:type="dxa"/>
          </w:tcPr>
          <w:p w14:paraId="05228BD6" w14:textId="77777777" w:rsidR="004119B9" w:rsidRPr="001A14D2" w:rsidRDefault="004119B9">
            <w:r w:rsidRPr="001A14D2">
              <w:rPr>
                <w:rFonts w:cs="Times New Roman"/>
                <w:sz w:val="24"/>
                <w:szCs w:val="24"/>
              </w:rPr>
              <w:t>19/10/2004</w:t>
            </w:r>
          </w:p>
        </w:tc>
      </w:tr>
      <w:tr w:rsidR="004119B9" w:rsidRPr="001A14D2" w14:paraId="7A976E59" w14:textId="77777777" w:rsidTr="004119B9">
        <w:tc>
          <w:tcPr>
            <w:tcW w:w="2444" w:type="dxa"/>
          </w:tcPr>
          <w:p w14:paraId="5DC504F8"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COUNSELOR</w:t>
            </w:r>
          </w:p>
        </w:tc>
        <w:tc>
          <w:tcPr>
            <w:tcW w:w="2500" w:type="dxa"/>
          </w:tcPr>
          <w:p w14:paraId="6A5C9694"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ENRIQUE CABANAS BERDICES</w:t>
            </w:r>
          </w:p>
        </w:tc>
        <w:tc>
          <w:tcPr>
            <w:tcW w:w="2547" w:type="dxa"/>
          </w:tcPr>
          <w:p w14:paraId="7D098899"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ENRIQUE CABANAS BERDICES</w:t>
            </w:r>
          </w:p>
        </w:tc>
        <w:tc>
          <w:tcPr>
            <w:tcW w:w="2085" w:type="dxa"/>
          </w:tcPr>
          <w:p w14:paraId="71CA57CE" w14:textId="77777777" w:rsidR="004119B9" w:rsidRPr="001A14D2" w:rsidRDefault="004119B9">
            <w:r w:rsidRPr="001A14D2">
              <w:rPr>
                <w:rFonts w:cs="Times New Roman"/>
                <w:sz w:val="24"/>
                <w:szCs w:val="24"/>
              </w:rPr>
              <w:t>19/10/2004</w:t>
            </w:r>
          </w:p>
        </w:tc>
      </w:tr>
      <w:tr w:rsidR="004119B9" w:rsidRPr="001A14D2" w14:paraId="41E6E92F" w14:textId="77777777" w:rsidTr="004119B9">
        <w:tc>
          <w:tcPr>
            <w:tcW w:w="2444" w:type="dxa"/>
          </w:tcPr>
          <w:p w14:paraId="1E71378F"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COUNSELOR</w:t>
            </w:r>
          </w:p>
        </w:tc>
        <w:tc>
          <w:tcPr>
            <w:tcW w:w="2500" w:type="dxa"/>
          </w:tcPr>
          <w:p w14:paraId="786D19B9" w14:textId="77777777" w:rsidR="004119B9" w:rsidRPr="001A14D2" w:rsidRDefault="004119B9" w:rsidP="004119B9">
            <w:pPr>
              <w:pStyle w:val="HTMLPreformatted"/>
              <w:jc w:val="both"/>
              <w:rPr>
                <w:rFonts w:asciiTheme="minorHAnsi" w:eastAsiaTheme="minorHAnsi" w:hAnsiTheme="minorHAnsi" w:cs="Times New Roman"/>
                <w:sz w:val="24"/>
                <w:szCs w:val="24"/>
                <w:lang w:val="es-ES"/>
              </w:rPr>
            </w:pPr>
            <w:r w:rsidRPr="001A14D2">
              <w:rPr>
                <w:rFonts w:asciiTheme="minorHAnsi" w:eastAsiaTheme="minorHAnsi" w:hAnsiTheme="minorHAnsi" w:cs="Times New Roman"/>
                <w:sz w:val="24"/>
                <w:szCs w:val="24"/>
                <w:lang w:val="es-ES"/>
              </w:rPr>
              <w:t>PEDRO LUIS FARIA ARAUJO DE</w:t>
            </w:r>
          </w:p>
          <w:p w14:paraId="0C80D7EE" w14:textId="77777777" w:rsidR="004119B9" w:rsidRPr="001A14D2" w:rsidRDefault="004119B9" w:rsidP="004119B9">
            <w:pPr>
              <w:pStyle w:val="HTMLPreformatted"/>
              <w:jc w:val="both"/>
              <w:rPr>
                <w:rFonts w:asciiTheme="minorHAnsi" w:eastAsiaTheme="minorHAnsi" w:hAnsiTheme="minorHAnsi" w:cs="Times New Roman"/>
                <w:sz w:val="24"/>
                <w:szCs w:val="24"/>
                <w:lang w:val="es-ES"/>
              </w:rPr>
            </w:pPr>
            <w:r w:rsidRPr="001A14D2">
              <w:rPr>
                <w:rFonts w:asciiTheme="minorHAnsi" w:eastAsiaTheme="minorHAnsi" w:hAnsiTheme="minorHAnsi" w:cs="Times New Roman"/>
                <w:sz w:val="24"/>
                <w:szCs w:val="24"/>
                <w:lang w:val="es-ES"/>
              </w:rPr>
              <w:t>ALMEIDA COSTA</w:t>
            </w:r>
          </w:p>
        </w:tc>
        <w:tc>
          <w:tcPr>
            <w:tcW w:w="2547" w:type="dxa"/>
          </w:tcPr>
          <w:p w14:paraId="45E8738B" w14:textId="77777777" w:rsidR="004119B9" w:rsidRPr="001A14D2" w:rsidRDefault="004119B9" w:rsidP="008E31E6">
            <w:pPr>
              <w:pStyle w:val="HTMLPreformatted"/>
              <w:jc w:val="both"/>
              <w:rPr>
                <w:rFonts w:asciiTheme="minorHAnsi" w:eastAsiaTheme="minorHAnsi" w:hAnsiTheme="minorHAnsi" w:cs="Times New Roman"/>
                <w:sz w:val="24"/>
                <w:szCs w:val="24"/>
                <w:lang w:val="es-ES"/>
              </w:rPr>
            </w:pPr>
          </w:p>
        </w:tc>
        <w:tc>
          <w:tcPr>
            <w:tcW w:w="2085" w:type="dxa"/>
          </w:tcPr>
          <w:p w14:paraId="01A56A2D"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25/11/2009</w:t>
            </w:r>
          </w:p>
        </w:tc>
      </w:tr>
      <w:tr w:rsidR="004119B9" w:rsidRPr="001A14D2" w14:paraId="178A5587" w14:textId="77777777" w:rsidTr="004119B9">
        <w:tc>
          <w:tcPr>
            <w:tcW w:w="2444" w:type="dxa"/>
          </w:tcPr>
          <w:p w14:paraId="528C89B0"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Secretary</w:t>
            </w:r>
          </w:p>
        </w:tc>
        <w:tc>
          <w:tcPr>
            <w:tcW w:w="2500" w:type="dxa"/>
          </w:tcPr>
          <w:p w14:paraId="748B1387"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ENRIQUE CABANAS BERDICES</w:t>
            </w:r>
          </w:p>
        </w:tc>
        <w:tc>
          <w:tcPr>
            <w:tcW w:w="2547" w:type="dxa"/>
          </w:tcPr>
          <w:p w14:paraId="16792625"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ENRIQUE CABANAS BERDICES</w:t>
            </w:r>
          </w:p>
        </w:tc>
        <w:tc>
          <w:tcPr>
            <w:tcW w:w="2085" w:type="dxa"/>
          </w:tcPr>
          <w:p w14:paraId="40B915E9" w14:textId="77777777" w:rsidR="004119B9" w:rsidRPr="001A14D2" w:rsidRDefault="004119B9" w:rsidP="008E31E6">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30/06/2006</w:t>
            </w:r>
          </w:p>
        </w:tc>
      </w:tr>
    </w:tbl>
    <w:p w14:paraId="30FFD344" w14:textId="77777777" w:rsidR="004119B9" w:rsidRPr="001A14D2" w:rsidRDefault="004119B9" w:rsidP="008E31E6">
      <w:pPr>
        <w:spacing w:after="0"/>
        <w:rPr>
          <w:rFonts w:cs="Times New Roman"/>
          <w:b/>
          <w:sz w:val="24"/>
          <w:szCs w:val="24"/>
        </w:rPr>
      </w:pPr>
    </w:p>
    <w:p w14:paraId="6158AC85" w14:textId="77777777" w:rsidR="004119B9" w:rsidRPr="001A14D2" w:rsidRDefault="004119B9" w:rsidP="004119B9">
      <w:pPr>
        <w:spacing w:after="0"/>
        <w:rPr>
          <w:rFonts w:cs="Times New Roman"/>
          <w:sz w:val="24"/>
          <w:szCs w:val="24"/>
        </w:rPr>
      </w:pPr>
      <w:proofErr w:type="gramStart"/>
      <w:r w:rsidRPr="001A14D2">
        <w:rPr>
          <w:rFonts w:cs="Times New Roman"/>
          <w:sz w:val="24"/>
          <w:szCs w:val="24"/>
        </w:rPr>
        <w:t>The Management Company and the Custodian in the same economic group under art.4 contained in the Act Stock market.</w:t>
      </w:r>
      <w:proofErr w:type="gramEnd"/>
    </w:p>
    <w:p w14:paraId="21DF5BD6" w14:textId="77777777" w:rsidR="004119B9" w:rsidRPr="001A14D2" w:rsidRDefault="004119B9" w:rsidP="004119B9">
      <w:pPr>
        <w:spacing w:after="0"/>
        <w:rPr>
          <w:rFonts w:cs="Times New Roman"/>
          <w:sz w:val="24"/>
          <w:szCs w:val="24"/>
        </w:rPr>
      </w:pPr>
      <w:r w:rsidRPr="001A14D2">
        <w:rPr>
          <w:rFonts w:cs="Times New Roman"/>
          <w:sz w:val="24"/>
          <w:szCs w:val="24"/>
        </w:rPr>
        <w:t>However the Management Company and the Custodian have established procedures to prevent conflicts of interest.</w:t>
      </w:r>
    </w:p>
    <w:p w14:paraId="10D2DB57" w14:textId="77777777" w:rsidR="004119B9" w:rsidRPr="001A14D2" w:rsidRDefault="004119B9" w:rsidP="004119B9">
      <w:pPr>
        <w:spacing w:after="0"/>
        <w:rPr>
          <w:rFonts w:cs="Times New Roman"/>
          <w:sz w:val="24"/>
          <w:szCs w:val="24"/>
        </w:rPr>
      </w:pPr>
    </w:p>
    <w:p w14:paraId="04354DBC" w14:textId="77777777" w:rsidR="004119B9" w:rsidRPr="001A14D2" w:rsidRDefault="004119B9" w:rsidP="004119B9">
      <w:pPr>
        <w:spacing w:after="0"/>
        <w:rPr>
          <w:rFonts w:cs="Times New Roman"/>
          <w:b/>
          <w:sz w:val="24"/>
          <w:szCs w:val="24"/>
        </w:rPr>
      </w:pPr>
      <w:r w:rsidRPr="001A14D2">
        <w:rPr>
          <w:rFonts w:cs="Times New Roman"/>
          <w:b/>
          <w:sz w:val="24"/>
          <w:szCs w:val="24"/>
        </w:rPr>
        <w:t>IDENTIFICATION OF THE DEPOSITARY</w:t>
      </w:r>
    </w:p>
    <w:p w14:paraId="0BF3D076" w14:textId="77777777" w:rsidR="004119B9" w:rsidRPr="001A14D2" w:rsidRDefault="004119B9" w:rsidP="004119B9">
      <w:pPr>
        <w:spacing w:after="0"/>
        <w:rPr>
          <w:rFonts w:cs="Times New Roman"/>
          <w:sz w:val="24"/>
          <w:szCs w:val="24"/>
        </w:rPr>
      </w:pPr>
      <w:r w:rsidRPr="001A14D2">
        <w:rPr>
          <w:rFonts w:cs="Times New Roman"/>
          <w:sz w:val="24"/>
          <w:szCs w:val="24"/>
          <w:u w:val="single"/>
        </w:rPr>
        <w:t>Date of registration and registration number:</w:t>
      </w:r>
      <w:r w:rsidRPr="001A14D2">
        <w:rPr>
          <w:rFonts w:cs="Times New Roman"/>
          <w:sz w:val="24"/>
          <w:szCs w:val="24"/>
        </w:rPr>
        <w:t xml:space="preserve"> Enrolled dated 08/02/1993 and number 152 in the register of the CNMV.</w:t>
      </w:r>
    </w:p>
    <w:p w14:paraId="2390E3F5" w14:textId="77777777" w:rsidR="004119B9" w:rsidRPr="001A14D2" w:rsidRDefault="004119B9" w:rsidP="004119B9">
      <w:pPr>
        <w:spacing w:after="0"/>
        <w:rPr>
          <w:rFonts w:cs="Times New Roman"/>
          <w:sz w:val="24"/>
          <w:szCs w:val="24"/>
        </w:rPr>
      </w:pPr>
      <w:r w:rsidRPr="001A14D2">
        <w:rPr>
          <w:rFonts w:cs="Times New Roman"/>
          <w:sz w:val="24"/>
          <w:szCs w:val="24"/>
          <w:u w:val="single"/>
        </w:rPr>
        <w:t>Registered Office:</w:t>
      </w:r>
      <w:r w:rsidRPr="001A14D2">
        <w:rPr>
          <w:rFonts w:cs="Times New Roman"/>
          <w:sz w:val="24"/>
          <w:szCs w:val="24"/>
        </w:rPr>
        <w:t xml:space="preserve"> </w:t>
      </w:r>
      <w:proofErr w:type="gramStart"/>
      <w:r w:rsidRPr="001A14D2">
        <w:rPr>
          <w:rFonts w:cs="Times New Roman"/>
          <w:sz w:val="24"/>
          <w:szCs w:val="24"/>
        </w:rPr>
        <w:t>CL .</w:t>
      </w:r>
      <w:proofErr w:type="gramEnd"/>
      <w:r w:rsidRPr="001A14D2">
        <w:rPr>
          <w:rFonts w:cs="Times New Roman"/>
          <w:sz w:val="24"/>
          <w:szCs w:val="24"/>
        </w:rPr>
        <w:t xml:space="preserve"> N.88 SERRANO in Madrid, zip code 28006</w:t>
      </w:r>
    </w:p>
    <w:p w14:paraId="0886047A" w14:textId="77777777" w:rsidR="00DD5594" w:rsidRPr="001A14D2" w:rsidRDefault="004119B9" w:rsidP="00DD5594">
      <w:pPr>
        <w:spacing w:after="0"/>
        <w:rPr>
          <w:rFonts w:cs="Times New Roman"/>
          <w:b/>
          <w:sz w:val="24"/>
          <w:szCs w:val="24"/>
        </w:rPr>
      </w:pPr>
      <w:r w:rsidRPr="001A14D2">
        <w:rPr>
          <w:rFonts w:cs="Times New Roman"/>
          <w:sz w:val="24"/>
          <w:szCs w:val="24"/>
          <w:u w:val="single"/>
        </w:rPr>
        <w:t>Main activity:</w:t>
      </w:r>
      <w:r w:rsidRPr="001A14D2">
        <w:rPr>
          <w:rFonts w:cs="Times New Roman"/>
          <w:sz w:val="24"/>
          <w:szCs w:val="24"/>
        </w:rPr>
        <w:t xml:space="preserve"> Lender</w:t>
      </w:r>
      <w:r w:rsidRPr="001A14D2">
        <w:rPr>
          <w:rFonts w:cs="Times New Roman"/>
          <w:b/>
          <w:sz w:val="24"/>
          <w:szCs w:val="24"/>
        </w:rPr>
        <w:t xml:space="preserve"> </w:t>
      </w:r>
    </w:p>
    <w:p w14:paraId="186660F7" w14:textId="77777777" w:rsidR="00DD5594" w:rsidRPr="001A14D2" w:rsidRDefault="00DD5594" w:rsidP="00DD5594">
      <w:pPr>
        <w:spacing w:after="0"/>
        <w:rPr>
          <w:rFonts w:cs="Times New Roman"/>
          <w:b/>
          <w:sz w:val="24"/>
          <w:szCs w:val="24"/>
        </w:rPr>
      </w:pPr>
    </w:p>
    <w:p w14:paraId="2AA29064" w14:textId="77777777" w:rsidR="008E31E6" w:rsidRPr="001A14D2" w:rsidRDefault="008E31E6" w:rsidP="00DD5594">
      <w:pPr>
        <w:spacing w:after="0"/>
        <w:rPr>
          <w:rFonts w:cs="Times New Roman"/>
          <w:b/>
          <w:sz w:val="24"/>
          <w:szCs w:val="24"/>
        </w:rPr>
      </w:pPr>
      <w:r w:rsidRPr="001A14D2">
        <w:rPr>
          <w:rFonts w:cs="Times New Roman"/>
          <w:b/>
          <w:sz w:val="24"/>
          <w:szCs w:val="24"/>
        </w:rPr>
        <w:t>OTHER UCITS managed by the same management</w:t>
      </w:r>
    </w:p>
    <w:p w14:paraId="398A09B2" w14:textId="77777777" w:rsidR="008E31E6" w:rsidRPr="001A14D2" w:rsidRDefault="008E31E6" w:rsidP="00AE2EB8">
      <w:pPr>
        <w:pStyle w:val="HTMLPreformatted"/>
        <w:jc w:val="both"/>
        <w:rPr>
          <w:rFonts w:asciiTheme="minorHAnsi" w:eastAsiaTheme="minorHAnsi" w:hAnsiTheme="minorHAnsi" w:cs="Times New Roman"/>
          <w:i/>
          <w:sz w:val="24"/>
          <w:szCs w:val="24"/>
        </w:rPr>
      </w:pPr>
      <w:r w:rsidRPr="001A14D2">
        <w:rPr>
          <w:rFonts w:asciiTheme="minorHAnsi" w:eastAsiaTheme="minorHAnsi" w:hAnsiTheme="minorHAnsi" w:cs="Times New Roman"/>
          <w:i/>
          <w:sz w:val="24"/>
          <w:szCs w:val="24"/>
        </w:rPr>
        <w:t>PLEASE REFER TO TABLE IN SPANISH VERSION OF PROSPECTUS</w:t>
      </w:r>
    </w:p>
    <w:p w14:paraId="7FA2C26F" w14:textId="77777777" w:rsidR="008E31E6" w:rsidRPr="001A14D2" w:rsidRDefault="008E31E6" w:rsidP="00AE2EB8">
      <w:pPr>
        <w:pStyle w:val="HTMLPreformatted"/>
        <w:jc w:val="both"/>
        <w:rPr>
          <w:rFonts w:asciiTheme="minorHAnsi" w:eastAsiaTheme="minorHAnsi" w:hAnsiTheme="minorHAnsi" w:cs="Times New Roman"/>
          <w:b/>
          <w:sz w:val="24"/>
          <w:szCs w:val="24"/>
        </w:rPr>
      </w:pPr>
    </w:p>
    <w:p w14:paraId="220A1530" w14:textId="77777777" w:rsidR="00CA7E87" w:rsidRPr="001A14D2" w:rsidRDefault="00CA7E87" w:rsidP="00CA7E87">
      <w:pPr>
        <w:pStyle w:val="HTMLPreformatted"/>
        <w:jc w:val="both"/>
        <w:rPr>
          <w:rFonts w:asciiTheme="minorHAnsi" w:eastAsiaTheme="minorHAnsi" w:hAnsiTheme="minorHAnsi" w:cs="Times New Roman"/>
          <w:b/>
          <w:sz w:val="24"/>
          <w:szCs w:val="24"/>
        </w:rPr>
      </w:pPr>
      <w:r w:rsidRPr="001A14D2">
        <w:rPr>
          <w:rFonts w:asciiTheme="minorHAnsi" w:eastAsiaTheme="minorHAnsi" w:hAnsiTheme="minorHAnsi" w:cs="Times New Roman"/>
          <w:b/>
          <w:sz w:val="24"/>
          <w:szCs w:val="24"/>
        </w:rPr>
        <w:t>RESPONSIBLE FOR THE CONTENTS OF THE PROSPECTUS</w:t>
      </w:r>
    </w:p>
    <w:p w14:paraId="77DB8576" w14:textId="77777777" w:rsidR="00CA7E87" w:rsidRDefault="00CA7E87" w:rsidP="00CA7E87">
      <w:pPr>
        <w:pStyle w:val="HTMLPreformatted"/>
        <w:jc w:val="both"/>
        <w:rPr>
          <w:rFonts w:asciiTheme="minorHAnsi" w:eastAsiaTheme="minorHAnsi" w:hAnsiTheme="minorHAnsi" w:cs="Times New Roman"/>
          <w:sz w:val="24"/>
          <w:szCs w:val="24"/>
        </w:rPr>
      </w:pPr>
      <w:r w:rsidRPr="001A14D2">
        <w:rPr>
          <w:rFonts w:asciiTheme="minorHAnsi" w:eastAsiaTheme="minorHAnsi" w:hAnsiTheme="minorHAnsi" w:cs="Times New Roman"/>
          <w:sz w:val="24"/>
          <w:szCs w:val="24"/>
        </w:rPr>
        <w:t xml:space="preserve">The Management Company and the Custodian assume responsibility for the contents of this Prospectus and declare that in his </w:t>
      </w:r>
      <w:proofErr w:type="gramStart"/>
      <w:r w:rsidRPr="001A14D2">
        <w:rPr>
          <w:rFonts w:asciiTheme="minorHAnsi" w:eastAsiaTheme="minorHAnsi" w:hAnsiTheme="minorHAnsi" w:cs="Times New Roman"/>
          <w:sz w:val="24"/>
          <w:szCs w:val="24"/>
        </w:rPr>
        <w:t>opinion ,</w:t>
      </w:r>
      <w:proofErr w:type="gramEnd"/>
      <w:r w:rsidRPr="001A14D2">
        <w:rPr>
          <w:rFonts w:asciiTheme="minorHAnsi" w:eastAsiaTheme="minorHAnsi" w:hAnsiTheme="minorHAnsi" w:cs="Times New Roman"/>
          <w:sz w:val="24"/>
          <w:szCs w:val="24"/>
        </w:rPr>
        <w:t xml:space="preserve"> the data contained therein they are with reality and that no fact likely to modify its scope is omitted .</w:t>
      </w:r>
    </w:p>
    <w:sectPr w:rsidR="00CA7E87">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299B0A" w15:done="0"/>
  <w15:commentEx w15:paraId="082DBBF5" w15:done="0"/>
  <w15:commentEx w15:paraId="5D905A01" w15:done="0"/>
  <w15:commentEx w15:paraId="05D9B474" w15:done="0"/>
  <w15:commentEx w15:paraId="0BEC82B0" w15:done="0"/>
  <w15:commentEx w15:paraId="0B5E446D" w15:done="0"/>
  <w15:commentEx w15:paraId="3A73BCB3" w15:done="0"/>
  <w15:commentEx w15:paraId="051AF43A" w15:done="0"/>
  <w15:commentEx w15:paraId="7617F656" w15:done="0"/>
  <w15:commentEx w15:paraId="105233F6" w15:done="0"/>
  <w15:commentEx w15:paraId="507D9838" w15:done="0"/>
  <w15:commentEx w15:paraId="7D457C8C" w15:done="0"/>
  <w15:commentEx w15:paraId="6DC80FC0" w15:done="0"/>
  <w15:commentEx w15:paraId="2F11338F" w15:done="0"/>
  <w15:commentEx w15:paraId="41F3C3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9431C" w14:textId="77777777" w:rsidR="008E31E6" w:rsidRDefault="008E31E6" w:rsidP="004065F7">
      <w:pPr>
        <w:spacing w:after="0" w:line="240" w:lineRule="auto"/>
      </w:pPr>
      <w:r>
        <w:separator/>
      </w:r>
    </w:p>
  </w:endnote>
  <w:endnote w:type="continuationSeparator" w:id="0">
    <w:p w14:paraId="63624754" w14:textId="77777777" w:rsidR="008E31E6" w:rsidRDefault="008E31E6" w:rsidP="0040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Bold+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1ED3A" w14:textId="77777777" w:rsidR="008E31E6" w:rsidRDefault="008E31E6">
    <w:pPr>
      <w:pStyle w:val="Footer"/>
      <w:pBdr>
        <w:top w:val="single" w:sz="4" w:space="1" w:color="D9D9D9" w:themeColor="background1" w:themeShade="D9"/>
      </w:pBdr>
      <w:jc w:val="right"/>
    </w:pPr>
    <w:r w:rsidRPr="00A669D4">
      <w:t xml:space="preserve">Last updated </w:t>
    </w:r>
    <w:proofErr w:type="gramStart"/>
    <w:r w:rsidRPr="00A669D4">
      <w:t>brochure :</w:t>
    </w:r>
    <w:proofErr w:type="gramEnd"/>
    <w:r w:rsidRPr="00A669D4">
      <w:t xml:space="preserve"> 20/11/2015</w:t>
    </w:r>
  </w:p>
  <w:p w14:paraId="4AA6A40F" w14:textId="77777777" w:rsidR="008E31E6" w:rsidRDefault="001A14D2">
    <w:pPr>
      <w:pStyle w:val="Footer"/>
      <w:pBdr>
        <w:top w:val="single" w:sz="4" w:space="1" w:color="D9D9D9" w:themeColor="background1" w:themeShade="D9"/>
      </w:pBdr>
      <w:jc w:val="right"/>
    </w:pPr>
    <w:sdt>
      <w:sdtPr>
        <w:id w:val="-316419748"/>
        <w:docPartObj>
          <w:docPartGallery w:val="Page Numbers (Bottom of Page)"/>
          <w:docPartUnique/>
        </w:docPartObj>
      </w:sdtPr>
      <w:sdtEndPr>
        <w:rPr>
          <w:color w:val="808080" w:themeColor="background1" w:themeShade="80"/>
          <w:spacing w:val="60"/>
        </w:rPr>
      </w:sdtEndPr>
      <w:sdtContent>
        <w:r w:rsidR="008E31E6">
          <w:fldChar w:fldCharType="begin"/>
        </w:r>
        <w:r w:rsidR="008E31E6">
          <w:instrText xml:space="preserve"> PAGE   \* MERGEFORMAT </w:instrText>
        </w:r>
        <w:r w:rsidR="008E31E6">
          <w:fldChar w:fldCharType="separate"/>
        </w:r>
        <w:r>
          <w:rPr>
            <w:noProof/>
          </w:rPr>
          <w:t>9</w:t>
        </w:r>
        <w:r w:rsidR="008E31E6">
          <w:rPr>
            <w:noProof/>
          </w:rPr>
          <w:fldChar w:fldCharType="end"/>
        </w:r>
        <w:r w:rsidR="008E31E6">
          <w:t xml:space="preserve"> | </w:t>
        </w:r>
        <w:r w:rsidR="008E31E6">
          <w:rPr>
            <w:color w:val="808080" w:themeColor="background1" w:themeShade="80"/>
            <w:spacing w:val="60"/>
          </w:rPr>
          <w:t>Page</w:t>
        </w:r>
      </w:sdtContent>
    </w:sdt>
  </w:p>
  <w:p w14:paraId="75F0B30E" w14:textId="77777777" w:rsidR="008E31E6" w:rsidRDefault="008E3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DD3A9" w14:textId="77777777" w:rsidR="008E31E6" w:rsidRDefault="008E31E6" w:rsidP="004065F7">
      <w:pPr>
        <w:spacing w:after="0" w:line="240" w:lineRule="auto"/>
      </w:pPr>
      <w:r>
        <w:separator/>
      </w:r>
    </w:p>
  </w:footnote>
  <w:footnote w:type="continuationSeparator" w:id="0">
    <w:p w14:paraId="69D6E500" w14:textId="77777777" w:rsidR="008E31E6" w:rsidRDefault="008E31E6" w:rsidP="00406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1EDF" w14:textId="77777777" w:rsidR="008E31E6" w:rsidRDefault="008E31E6" w:rsidP="00D8403C">
    <w:pPr>
      <w:autoSpaceDE w:val="0"/>
      <w:autoSpaceDN w:val="0"/>
      <w:adjustRightInd w:val="0"/>
      <w:spacing w:after="0" w:line="240" w:lineRule="auto"/>
      <w:rPr>
        <w:rFonts w:ascii="Bookman Old Style Bold+FPEF" w:hAnsi="Bookman Old Style Bold+FPEF" w:cs="Bookman Old Style Bold+FPEF"/>
        <w:b/>
        <w:bCs/>
        <w:color w:val="000081"/>
        <w:sz w:val="24"/>
        <w:szCs w:val="24"/>
      </w:rPr>
    </w:pPr>
    <w:r>
      <w:rPr>
        <w:rFonts w:ascii="Bookman Old Style Bold+FPEF" w:hAnsi="Bookman Old Style Bold+FPEF" w:cs="Bookman Old Style Bold+FPEF"/>
        <w:b/>
        <w:bCs/>
        <w:color w:val="000081"/>
        <w:sz w:val="24"/>
        <w:szCs w:val="24"/>
      </w:rPr>
      <w:t>Brochure (in English)</w:t>
    </w:r>
  </w:p>
  <w:p w14:paraId="016D392B" w14:textId="77777777" w:rsidR="008E31E6" w:rsidRPr="0065597B" w:rsidRDefault="008E31E6" w:rsidP="0065597B">
    <w:pPr>
      <w:pStyle w:val="HTMLPreformatted"/>
      <w:rPr>
        <w:rFonts w:ascii="Bookman Old Style Bold+FPEF" w:eastAsiaTheme="minorHAnsi" w:hAnsi="Bookman Old Style Bold+FPEF" w:cs="Bookman Old Style Bold+FPEF"/>
        <w:b/>
        <w:bCs/>
        <w:color w:val="000081"/>
        <w:sz w:val="24"/>
        <w:szCs w:val="24"/>
      </w:rPr>
    </w:pPr>
    <w:r w:rsidRPr="0065597B">
      <w:rPr>
        <w:rFonts w:ascii="Bookman Old Style Bold+FPEF" w:eastAsiaTheme="minorHAnsi" w:hAnsi="Bookman Old Style Bold+FPEF" w:cs="Bookman Old Style Bold+FPEF"/>
        <w:b/>
        <w:bCs/>
        <w:color w:val="000081"/>
        <w:sz w:val="24"/>
        <w:szCs w:val="24"/>
      </w:rPr>
      <w:t>FCS GESTION FLEXIBLE, FI</w:t>
    </w:r>
  </w:p>
  <w:p w14:paraId="5636C62A" w14:textId="77777777" w:rsidR="008E31E6" w:rsidRPr="00AE2EB8" w:rsidRDefault="008E31E6" w:rsidP="0065597B">
    <w:pPr>
      <w:pStyle w:val="HTMLPreformatted"/>
      <w:rPr>
        <w:rFonts w:ascii="Bookman Old Style Bold+FPEF" w:hAnsi="Bookman Old Style Bold+FPEF" w:cs="Bookman Old Style Bold+FPEF"/>
        <w:b/>
        <w:bCs/>
        <w:color w:val="000000"/>
        <w:sz w:val="16"/>
        <w:szCs w:val="16"/>
      </w:rPr>
    </w:pPr>
    <w:r w:rsidRPr="0065597B">
      <w:rPr>
        <w:rFonts w:ascii="Bookman Old Style Bold+FPEF" w:eastAsiaTheme="minorHAnsi" w:hAnsi="Bookman Old Style Bold+FPEF" w:cs="Bookman Old Style Bold+FPEF"/>
        <w:b/>
        <w:bCs/>
        <w:color w:val="000081"/>
        <w:sz w:val="24"/>
        <w:szCs w:val="24"/>
      </w:rPr>
      <w:t>(</w:t>
    </w:r>
    <w:proofErr w:type="spellStart"/>
    <w:r w:rsidRPr="0065597B">
      <w:rPr>
        <w:rFonts w:ascii="Bookman Old Style Bold+FPEF" w:eastAsiaTheme="minorHAnsi" w:hAnsi="Bookman Old Style Bold+FPEF" w:cs="Bookman Old Style Bold+FPEF"/>
        <w:b/>
        <w:bCs/>
        <w:color w:val="000081"/>
        <w:sz w:val="24"/>
        <w:szCs w:val="24"/>
      </w:rPr>
      <w:t>Anteriormente</w:t>
    </w:r>
    <w:proofErr w:type="spellEnd"/>
    <w:r w:rsidRPr="0065597B">
      <w:rPr>
        <w:rFonts w:ascii="Bookman Old Style Bold+FPEF" w:eastAsiaTheme="minorHAnsi" w:hAnsi="Bookman Old Style Bold+FPEF" w:cs="Bookman Old Style Bold+FPEF"/>
        <w:b/>
        <w:bCs/>
        <w:color w:val="000081"/>
        <w:sz w:val="24"/>
        <w:szCs w:val="24"/>
      </w:rPr>
      <w:t xml:space="preserve"> </w:t>
    </w:r>
    <w:proofErr w:type="spellStart"/>
    <w:r w:rsidRPr="0065597B">
      <w:rPr>
        <w:rFonts w:ascii="Bookman Old Style Bold+FPEF" w:eastAsiaTheme="minorHAnsi" w:hAnsi="Bookman Old Style Bold+FPEF" w:cs="Bookman Old Style Bold+FPEF"/>
        <w:b/>
        <w:bCs/>
        <w:color w:val="000081"/>
        <w:sz w:val="24"/>
        <w:szCs w:val="24"/>
      </w:rPr>
      <w:t>denominado</w:t>
    </w:r>
    <w:proofErr w:type="spellEnd"/>
    <w:r w:rsidRPr="0065597B">
      <w:rPr>
        <w:rFonts w:ascii="Bookman Old Style Bold+FPEF" w:eastAsiaTheme="minorHAnsi" w:hAnsi="Bookman Old Style Bold+FPEF" w:cs="Bookman Old Style Bold+FPEF"/>
        <w:b/>
        <w:bCs/>
        <w:color w:val="000081"/>
        <w:sz w:val="24"/>
        <w:szCs w:val="24"/>
      </w:rPr>
      <w:t>: NEMESIS, FI)</w:t>
    </w:r>
    <w:r>
      <w:rPr>
        <w:rFonts w:ascii="Bookman Old Style Bold+FPEF" w:hAnsi="Bookman Old Style Bold+FPEF" w:cs="Bookman Old Style Bold+FPEF"/>
        <w:b/>
        <w:bCs/>
        <w:color w:val="000000"/>
        <w:sz w:val="16"/>
        <w:szCs w:val="16"/>
      </w:rPr>
      <w:tab/>
    </w:r>
    <w:r w:rsidRPr="00AE2EB8">
      <w:rPr>
        <w:rFonts w:ascii="Bookman Old Style Bold+FPEF" w:hAnsi="Bookman Old Style Bold+FPEF" w:cs="Bookman Old Style Bold+FPEF"/>
        <w:b/>
        <w:bCs/>
        <w:color w:val="000000"/>
        <w:sz w:val="16"/>
        <w:szCs w:val="16"/>
      </w:rPr>
      <w:t xml:space="preserve">Company Registration No. CNMV: </w:t>
    </w:r>
    <w:r w:rsidRPr="0065597B">
      <w:rPr>
        <w:rFonts w:ascii="Bookman Old Style Bold+FPEF" w:hAnsi="Bookman Old Style Bold+FPEF" w:cs="Bookman Old Style Bold+FPEF"/>
        <w:b/>
        <w:bCs/>
        <w:color w:val="000000"/>
        <w:sz w:val="16"/>
        <w:szCs w:val="16"/>
      </w:rPr>
      <w:t>4789</w:t>
    </w:r>
  </w:p>
  <w:p w14:paraId="0E5D2529" w14:textId="77777777" w:rsidR="008E31E6" w:rsidRDefault="008E31E6" w:rsidP="00D8403C">
    <w:pPr>
      <w:pStyle w:val="HTMLPreformatted"/>
      <w:rPr>
        <w:rFonts w:ascii="Bookman Old Style Bold+FPEF" w:hAnsi="Bookman Old Style Bold+FPEF" w:cs="Bookman Old Style Bold+FPEF"/>
        <w:b/>
        <w:bCs/>
        <w:color w:val="000000"/>
        <w:sz w:val="16"/>
        <w:szCs w:val="16"/>
      </w:rPr>
    </w:pPr>
  </w:p>
  <w:p w14:paraId="2667440D" w14:textId="77777777" w:rsidR="008E31E6" w:rsidRDefault="008E31E6" w:rsidP="00D8403C">
    <w:pPr>
      <w:pStyle w:val="HTMLPreformatt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C0F02"/>
    <w:multiLevelType w:val="hybridMultilevel"/>
    <w:tmpl w:val="035C2F38"/>
    <w:lvl w:ilvl="0" w:tplc="CB38D556">
      <w:start w:val="3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81058"/>
    <w:multiLevelType w:val="hybridMultilevel"/>
    <w:tmpl w:val="5686E396"/>
    <w:lvl w:ilvl="0" w:tplc="A0624850">
      <w:start w:val="3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269CE"/>
    <w:multiLevelType w:val="hybridMultilevel"/>
    <w:tmpl w:val="ADD4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65500"/>
    <w:multiLevelType w:val="hybridMultilevel"/>
    <w:tmpl w:val="7354F024"/>
    <w:lvl w:ilvl="0" w:tplc="B37C22E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81BBC"/>
    <w:multiLevelType w:val="hybridMultilevel"/>
    <w:tmpl w:val="73D64B94"/>
    <w:lvl w:ilvl="0" w:tplc="B37C22E8">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75AD6"/>
    <w:multiLevelType w:val="hybridMultilevel"/>
    <w:tmpl w:val="25904E1C"/>
    <w:lvl w:ilvl="0" w:tplc="B37C22E8">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CS ASSET MANAGEMENT">
    <w15:presenceInfo w15:providerId="Windows Live" w15:userId="51ce90c839022b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BB"/>
    <w:rsid w:val="0006760E"/>
    <w:rsid w:val="00076AB8"/>
    <w:rsid w:val="001A14D2"/>
    <w:rsid w:val="00303E85"/>
    <w:rsid w:val="0035756F"/>
    <w:rsid w:val="00380E80"/>
    <w:rsid w:val="00384F4F"/>
    <w:rsid w:val="004065F7"/>
    <w:rsid w:val="004119B9"/>
    <w:rsid w:val="00517DC2"/>
    <w:rsid w:val="00520029"/>
    <w:rsid w:val="00572EE9"/>
    <w:rsid w:val="005A43BE"/>
    <w:rsid w:val="00600AC3"/>
    <w:rsid w:val="0065597B"/>
    <w:rsid w:val="006A5D80"/>
    <w:rsid w:val="007241AF"/>
    <w:rsid w:val="0079070D"/>
    <w:rsid w:val="007A4BC5"/>
    <w:rsid w:val="007D425B"/>
    <w:rsid w:val="00812482"/>
    <w:rsid w:val="008E31E6"/>
    <w:rsid w:val="009A5D4E"/>
    <w:rsid w:val="009B7315"/>
    <w:rsid w:val="009D0B72"/>
    <w:rsid w:val="00A669D4"/>
    <w:rsid w:val="00AE2EB8"/>
    <w:rsid w:val="00BC4EBE"/>
    <w:rsid w:val="00BC4F77"/>
    <w:rsid w:val="00CA7E87"/>
    <w:rsid w:val="00D8403C"/>
    <w:rsid w:val="00DC39BD"/>
    <w:rsid w:val="00DD5594"/>
    <w:rsid w:val="00EE7383"/>
    <w:rsid w:val="00F150BB"/>
    <w:rsid w:val="00F2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8B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1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0BB"/>
    <w:rPr>
      <w:rFonts w:ascii="Courier New" w:eastAsia="Times New Roman" w:hAnsi="Courier New" w:cs="Courier New"/>
      <w:sz w:val="20"/>
      <w:szCs w:val="20"/>
    </w:rPr>
  </w:style>
  <w:style w:type="paragraph" w:styleId="ListParagraph">
    <w:name w:val="List Paragraph"/>
    <w:basedOn w:val="Normal"/>
    <w:uiPriority w:val="34"/>
    <w:qFormat/>
    <w:rsid w:val="00F150BB"/>
    <w:pPr>
      <w:ind w:left="720"/>
      <w:contextualSpacing/>
    </w:pPr>
  </w:style>
  <w:style w:type="paragraph" w:styleId="Header">
    <w:name w:val="header"/>
    <w:basedOn w:val="Normal"/>
    <w:link w:val="HeaderChar"/>
    <w:uiPriority w:val="99"/>
    <w:unhideWhenUsed/>
    <w:rsid w:val="0040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5F7"/>
  </w:style>
  <w:style w:type="paragraph" w:styleId="Footer">
    <w:name w:val="footer"/>
    <w:basedOn w:val="Normal"/>
    <w:link w:val="FooterChar"/>
    <w:uiPriority w:val="99"/>
    <w:unhideWhenUsed/>
    <w:rsid w:val="0040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5F7"/>
  </w:style>
  <w:style w:type="table" w:styleId="TableGrid">
    <w:name w:val="Table Grid"/>
    <w:basedOn w:val="TableNormal"/>
    <w:uiPriority w:val="59"/>
    <w:rsid w:val="0040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4BC5"/>
    <w:rPr>
      <w:sz w:val="16"/>
      <w:szCs w:val="16"/>
    </w:rPr>
  </w:style>
  <w:style w:type="paragraph" w:styleId="CommentText">
    <w:name w:val="annotation text"/>
    <w:basedOn w:val="Normal"/>
    <w:link w:val="CommentTextChar"/>
    <w:uiPriority w:val="99"/>
    <w:semiHidden/>
    <w:unhideWhenUsed/>
    <w:rsid w:val="007A4BC5"/>
    <w:pPr>
      <w:spacing w:line="240" w:lineRule="auto"/>
    </w:pPr>
    <w:rPr>
      <w:sz w:val="20"/>
      <w:szCs w:val="20"/>
    </w:rPr>
  </w:style>
  <w:style w:type="character" w:customStyle="1" w:styleId="CommentTextChar">
    <w:name w:val="Comment Text Char"/>
    <w:basedOn w:val="DefaultParagraphFont"/>
    <w:link w:val="CommentText"/>
    <w:uiPriority w:val="99"/>
    <w:semiHidden/>
    <w:rsid w:val="007A4BC5"/>
    <w:rPr>
      <w:sz w:val="20"/>
      <w:szCs w:val="20"/>
    </w:rPr>
  </w:style>
  <w:style w:type="paragraph" w:styleId="CommentSubject">
    <w:name w:val="annotation subject"/>
    <w:basedOn w:val="CommentText"/>
    <w:next w:val="CommentText"/>
    <w:link w:val="CommentSubjectChar"/>
    <w:uiPriority w:val="99"/>
    <w:semiHidden/>
    <w:unhideWhenUsed/>
    <w:rsid w:val="007A4BC5"/>
    <w:rPr>
      <w:b/>
      <w:bCs/>
    </w:rPr>
  </w:style>
  <w:style w:type="character" w:customStyle="1" w:styleId="CommentSubjectChar">
    <w:name w:val="Comment Subject Char"/>
    <w:basedOn w:val="CommentTextChar"/>
    <w:link w:val="CommentSubject"/>
    <w:uiPriority w:val="99"/>
    <w:semiHidden/>
    <w:rsid w:val="007A4BC5"/>
    <w:rPr>
      <w:b/>
      <w:bCs/>
      <w:sz w:val="20"/>
      <w:szCs w:val="20"/>
    </w:rPr>
  </w:style>
  <w:style w:type="paragraph" w:styleId="BalloonText">
    <w:name w:val="Balloon Text"/>
    <w:basedOn w:val="Normal"/>
    <w:link w:val="BalloonTextChar"/>
    <w:uiPriority w:val="99"/>
    <w:semiHidden/>
    <w:unhideWhenUsed/>
    <w:rsid w:val="007A4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1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0BB"/>
    <w:rPr>
      <w:rFonts w:ascii="Courier New" w:eastAsia="Times New Roman" w:hAnsi="Courier New" w:cs="Courier New"/>
      <w:sz w:val="20"/>
      <w:szCs w:val="20"/>
    </w:rPr>
  </w:style>
  <w:style w:type="paragraph" w:styleId="ListParagraph">
    <w:name w:val="List Paragraph"/>
    <w:basedOn w:val="Normal"/>
    <w:uiPriority w:val="34"/>
    <w:qFormat/>
    <w:rsid w:val="00F150BB"/>
    <w:pPr>
      <w:ind w:left="720"/>
      <w:contextualSpacing/>
    </w:pPr>
  </w:style>
  <w:style w:type="paragraph" w:styleId="Header">
    <w:name w:val="header"/>
    <w:basedOn w:val="Normal"/>
    <w:link w:val="HeaderChar"/>
    <w:uiPriority w:val="99"/>
    <w:unhideWhenUsed/>
    <w:rsid w:val="0040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5F7"/>
  </w:style>
  <w:style w:type="paragraph" w:styleId="Footer">
    <w:name w:val="footer"/>
    <w:basedOn w:val="Normal"/>
    <w:link w:val="FooterChar"/>
    <w:uiPriority w:val="99"/>
    <w:unhideWhenUsed/>
    <w:rsid w:val="0040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5F7"/>
  </w:style>
  <w:style w:type="table" w:styleId="TableGrid">
    <w:name w:val="Table Grid"/>
    <w:basedOn w:val="TableNormal"/>
    <w:uiPriority w:val="59"/>
    <w:rsid w:val="0040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4BC5"/>
    <w:rPr>
      <w:sz w:val="16"/>
      <w:szCs w:val="16"/>
    </w:rPr>
  </w:style>
  <w:style w:type="paragraph" w:styleId="CommentText">
    <w:name w:val="annotation text"/>
    <w:basedOn w:val="Normal"/>
    <w:link w:val="CommentTextChar"/>
    <w:uiPriority w:val="99"/>
    <w:semiHidden/>
    <w:unhideWhenUsed/>
    <w:rsid w:val="007A4BC5"/>
    <w:pPr>
      <w:spacing w:line="240" w:lineRule="auto"/>
    </w:pPr>
    <w:rPr>
      <w:sz w:val="20"/>
      <w:szCs w:val="20"/>
    </w:rPr>
  </w:style>
  <w:style w:type="character" w:customStyle="1" w:styleId="CommentTextChar">
    <w:name w:val="Comment Text Char"/>
    <w:basedOn w:val="DefaultParagraphFont"/>
    <w:link w:val="CommentText"/>
    <w:uiPriority w:val="99"/>
    <w:semiHidden/>
    <w:rsid w:val="007A4BC5"/>
    <w:rPr>
      <w:sz w:val="20"/>
      <w:szCs w:val="20"/>
    </w:rPr>
  </w:style>
  <w:style w:type="paragraph" w:styleId="CommentSubject">
    <w:name w:val="annotation subject"/>
    <w:basedOn w:val="CommentText"/>
    <w:next w:val="CommentText"/>
    <w:link w:val="CommentSubjectChar"/>
    <w:uiPriority w:val="99"/>
    <w:semiHidden/>
    <w:unhideWhenUsed/>
    <w:rsid w:val="007A4BC5"/>
    <w:rPr>
      <w:b/>
      <w:bCs/>
    </w:rPr>
  </w:style>
  <w:style w:type="character" w:customStyle="1" w:styleId="CommentSubjectChar">
    <w:name w:val="Comment Subject Char"/>
    <w:basedOn w:val="CommentTextChar"/>
    <w:link w:val="CommentSubject"/>
    <w:uiPriority w:val="99"/>
    <w:semiHidden/>
    <w:rsid w:val="007A4BC5"/>
    <w:rPr>
      <w:b/>
      <w:bCs/>
      <w:sz w:val="20"/>
      <w:szCs w:val="20"/>
    </w:rPr>
  </w:style>
  <w:style w:type="paragraph" w:styleId="BalloonText">
    <w:name w:val="Balloon Text"/>
    <w:basedOn w:val="Normal"/>
    <w:link w:val="BalloonTextChar"/>
    <w:uiPriority w:val="99"/>
    <w:semiHidden/>
    <w:unhideWhenUsed/>
    <w:rsid w:val="007A4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6993">
      <w:bodyDiv w:val="1"/>
      <w:marLeft w:val="0"/>
      <w:marRight w:val="0"/>
      <w:marTop w:val="0"/>
      <w:marBottom w:val="0"/>
      <w:divBdr>
        <w:top w:val="none" w:sz="0" w:space="0" w:color="auto"/>
        <w:left w:val="none" w:sz="0" w:space="0" w:color="auto"/>
        <w:bottom w:val="none" w:sz="0" w:space="0" w:color="auto"/>
        <w:right w:val="none" w:sz="0" w:space="0" w:color="auto"/>
      </w:divBdr>
    </w:div>
    <w:div w:id="140317593">
      <w:bodyDiv w:val="1"/>
      <w:marLeft w:val="0"/>
      <w:marRight w:val="0"/>
      <w:marTop w:val="0"/>
      <w:marBottom w:val="0"/>
      <w:divBdr>
        <w:top w:val="none" w:sz="0" w:space="0" w:color="auto"/>
        <w:left w:val="none" w:sz="0" w:space="0" w:color="auto"/>
        <w:bottom w:val="none" w:sz="0" w:space="0" w:color="auto"/>
        <w:right w:val="none" w:sz="0" w:space="0" w:color="auto"/>
      </w:divBdr>
    </w:div>
    <w:div w:id="219442060">
      <w:bodyDiv w:val="1"/>
      <w:marLeft w:val="0"/>
      <w:marRight w:val="0"/>
      <w:marTop w:val="0"/>
      <w:marBottom w:val="0"/>
      <w:divBdr>
        <w:top w:val="none" w:sz="0" w:space="0" w:color="auto"/>
        <w:left w:val="none" w:sz="0" w:space="0" w:color="auto"/>
        <w:bottom w:val="none" w:sz="0" w:space="0" w:color="auto"/>
        <w:right w:val="none" w:sz="0" w:space="0" w:color="auto"/>
      </w:divBdr>
    </w:div>
    <w:div w:id="248076090">
      <w:bodyDiv w:val="1"/>
      <w:marLeft w:val="0"/>
      <w:marRight w:val="0"/>
      <w:marTop w:val="0"/>
      <w:marBottom w:val="0"/>
      <w:divBdr>
        <w:top w:val="none" w:sz="0" w:space="0" w:color="auto"/>
        <w:left w:val="none" w:sz="0" w:space="0" w:color="auto"/>
        <w:bottom w:val="none" w:sz="0" w:space="0" w:color="auto"/>
        <w:right w:val="none" w:sz="0" w:space="0" w:color="auto"/>
      </w:divBdr>
      <w:divsChild>
        <w:div w:id="551162908">
          <w:marLeft w:val="0"/>
          <w:marRight w:val="0"/>
          <w:marTop w:val="0"/>
          <w:marBottom w:val="0"/>
          <w:divBdr>
            <w:top w:val="none" w:sz="0" w:space="0" w:color="auto"/>
            <w:left w:val="none" w:sz="0" w:space="0" w:color="auto"/>
            <w:bottom w:val="none" w:sz="0" w:space="0" w:color="auto"/>
            <w:right w:val="none" w:sz="0" w:space="0" w:color="auto"/>
          </w:divBdr>
          <w:divsChild>
            <w:div w:id="1893610250">
              <w:marLeft w:val="0"/>
              <w:marRight w:val="0"/>
              <w:marTop w:val="0"/>
              <w:marBottom w:val="0"/>
              <w:divBdr>
                <w:top w:val="none" w:sz="0" w:space="0" w:color="auto"/>
                <w:left w:val="none" w:sz="0" w:space="0" w:color="auto"/>
                <w:bottom w:val="none" w:sz="0" w:space="0" w:color="auto"/>
                <w:right w:val="none" w:sz="0" w:space="0" w:color="auto"/>
              </w:divBdr>
              <w:divsChild>
                <w:div w:id="587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8272">
      <w:bodyDiv w:val="1"/>
      <w:marLeft w:val="0"/>
      <w:marRight w:val="0"/>
      <w:marTop w:val="0"/>
      <w:marBottom w:val="0"/>
      <w:divBdr>
        <w:top w:val="none" w:sz="0" w:space="0" w:color="auto"/>
        <w:left w:val="none" w:sz="0" w:space="0" w:color="auto"/>
        <w:bottom w:val="none" w:sz="0" w:space="0" w:color="auto"/>
        <w:right w:val="none" w:sz="0" w:space="0" w:color="auto"/>
      </w:divBdr>
    </w:div>
    <w:div w:id="275909211">
      <w:bodyDiv w:val="1"/>
      <w:marLeft w:val="0"/>
      <w:marRight w:val="0"/>
      <w:marTop w:val="0"/>
      <w:marBottom w:val="0"/>
      <w:divBdr>
        <w:top w:val="none" w:sz="0" w:space="0" w:color="auto"/>
        <w:left w:val="none" w:sz="0" w:space="0" w:color="auto"/>
        <w:bottom w:val="none" w:sz="0" w:space="0" w:color="auto"/>
        <w:right w:val="none" w:sz="0" w:space="0" w:color="auto"/>
      </w:divBdr>
    </w:div>
    <w:div w:id="354818025">
      <w:bodyDiv w:val="1"/>
      <w:marLeft w:val="0"/>
      <w:marRight w:val="0"/>
      <w:marTop w:val="0"/>
      <w:marBottom w:val="0"/>
      <w:divBdr>
        <w:top w:val="none" w:sz="0" w:space="0" w:color="auto"/>
        <w:left w:val="none" w:sz="0" w:space="0" w:color="auto"/>
        <w:bottom w:val="none" w:sz="0" w:space="0" w:color="auto"/>
        <w:right w:val="none" w:sz="0" w:space="0" w:color="auto"/>
      </w:divBdr>
      <w:divsChild>
        <w:div w:id="820540078">
          <w:marLeft w:val="0"/>
          <w:marRight w:val="0"/>
          <w:marTop w:val="0"/>
          <w:marBottom w:val="0"/>
          <w:divBdr>
            <w:top w:val="none" w:sz="0" w:space="0" w:color="auto"/>
            <w:left w:val="none" w:sz="0" w:space="0" w:color="auto"/>
            <w:bottom w:val="none" w:sz="0" w:space="0" w:color="auto"/>
            <w:right w:val="none" w:sz="0" w:space="0" w:color="auto"/>
          </w:divBdr>
          <w:divsChild>
            <w:div w:id="1106851892">
              <w:marLeft w:val="0"/>
              <w:marRight w:val="0"/>
              <w:marTop w:val="0"/>
              <w:marBottom w:val="0"/>
              <w:divBdr>
                <w:top w:val="none" w:sz="0" w:space="0" w:color="auto"/>
                <w:left w:val="none" w:sz="0" w:space="0" w:color="auto"/>
                <w:bottom w:val="none" w:sz="0" w:space="0" w:color="auto"/>
                <w:right w:val="none" w:sz="0" w:space="0" w:color="auto"/>
              </w:divBdr>
              <w:divsChild>
                <w:div w:id="1500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3018">
      <w:bodyDiv w:val="1"/>
      <w:marLeft w:val="0"/>
      <w:marRight w:val="0"/>
      <w:marTop w:val="0"/>
      <w:marBottom w:val="0"/>
      <w:divBdr>
        <w:top w:val="none" w:sz="0" w:space="0" w:color="auto"/>
        <w:left w:val="none" w:sz="0" w:space="0" w:color="auto"/>
        <w:bottom w:val="none" w:sz="0" w:space="0" w:color="auto"/>
        <w:right w:val="none" w:sz="0" w:space="0" w:color="auto"/>
      </w:divBdr>
    </w:div>
    <w:div w:id="387270537">
      <w:bodyDiv w:val="1"/>
      <w:marLeft w:val="0"/>
      <w:marRight w:val="0"/>
      <w:marTop w:val="0"/>
      <w:marBottom w:val="0"/>
      <w:divBdr>
        <w:top w:val="none" w:sz="0" w:space="0" w:color="auto"/>
        <w:left w:val="none" w:sz="0" w:space="0" w:color="auto"/>
        <w:bottom w:val="none" w:sz="0" w:space="0" w:color="auto"/>
        <w:right w:val="none" w:sz="0" w:space="0" w:color="auto"/>
      </w:divBdr>
      <w:divsChild>
        <w:div w:id="872427560">
          <w:marLeft w:val="0"/>
          <w:marRight w:val="0"/>
          <w:marTop w:val="0"/>
          <w:marBottom w:val="0"/>
          <w:divBdr>
            <w:top w:val="none" w:sz="0" w:space="0" w:color="auto"/>
            <w:left w:val="none" w:sz="0" w:space="0" w:color="auto"/>
            <w:bottom w:val="none" w:sz="0" w:space="0" w:color="auto"/>
            <w:right w:val="none" w:sz="0" w:space="0" w:color="auto"/>
          </w:divBdr>
          <w:divsChild>
            <w:div w:id="800077809">
              <w:marLeft w:val="0"/>
              <w:marRight w:val="0"/>
              <w:marTop w:val="0"/>
              <w:marBottom w:val="0"/>
              <w:divBdr>
                <w:top w:val="none" w:sz="0" w:space="0" w:color="auto"/>
                <w:left w:val="none" w:sz="0" w:space="0" w:color="auto"/>
                <w:bottom w:val="none" w:sz="0" w:space="0" w:color="auto"/>
                <w:right w:val="none" w:sz="0" w:space="0" w:color="auto"/>
              </w:divBdr>
              <w:divsChild>
                <w:div w:id="2596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0784">
      <w:bodyDiv w:val="1"/>
      <w:marLeft w:val="0"/>
      <w:marRight w:val="0"/>
      <w:marTop w:val="0"/>
      <w:marBottom w:val="0"/>
      <w:divBdr>
        <w:top w:val="none" w:sz="0" w:space="0" w:color="auto"/>
        <w:left w:val="none" w:sz="0" w:space="0" w:color="auto"/>
        <w:bottom w:val="none" w:sz="0" w:space="0" w:color="auto"/>
        <w:right w:val="none" w:sz="0" w:space="0" w:color="auto"/>
      </w:divBdr>
    </w:div>
    <w:div w:id="449515437">
      <w:bodyDiv w:val="1"/>
      <w:marLeft w:val="0"/>
      <w:marRight w:val="0"/>
      <w:marTop w:val="0"/>
      <w:marBottom w:val="0"/>
      <w:divBdr>
        <w:top w:val="none" w:sz="0" w:space="0" w:color="auto"/>
        <w:left w:val="none" w:sz="0" w:space="0" w:color="auto"/>
        <w:bottom w:val="none" w:sz="0" w:space="0" w:color="auto"/>
        <w:right w:val="none" w:sz="0" w:space="0" w:color="auto"/>
      </w:divBdr>
      <w:divsChild>
        <w:div w:id="686758801">
          <w:marLeft w:val="0"/>
          <w:marRight w:val="0"/>
          <w:marTop w:val="0"/>
          <w:marBottom w:val="0"/>
          <w:divBdr>
            <w:top w:val="none" w:sz="0" w:space="0" w:color="auto"/>
            <w:left w:val="none" w:sz="0" w:space="0" w:color="auto"/>
            <w:bottom w:val="none" w:sz="0" w:space="0" w:color="auto"/>
            <w:right w:val="none" w:sz="0" w:space="0" w:color="auto"/>
          </w:divBdr>
          <w:divsChild>
            <w:div w:id="1791237363">
              <w:marLeft w:val="0"/>
              <w:marRight w:val="0"/>
              <w:marTop w:val="0"/>
              <w:marBottom w:val="0"/>
              <w:divBdr>
                <w:top w:val="none" w:sz="0" w:space="0" w:color="auto"/>
                <w:left w:val="none" w:sz="0" w:space="0" w:color="auto"/>
                <w:bottom w:val="none" w:sz="0" w:space="0" w:color="auto"/>
                <w:right w:val="none" w:sz="0" w:space="0" w:color="auto"/>
              </w:divBdr>
              <w:divsChild>
                <w:div w:id="581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3230">
      <w:bodyDiv w:val="1"/>
      <w:marLeft w:val="0"/>
      <w:marRight w:val="0"/>
      <w:marTop w:val="0"/>
      <w:marBottom w:val="0"/>
      <w:divBdr>
        <w:top w:val="none" w:sz="0" w:space="0" w:color="auto"/>
        <w:left w:val="none" w:sz="0" w:space="0" w:color="auto"/>
        <w:bottom w:val="none" w:sz="0" w:space="0" w:color="auto"/>
        <w:right w:val="none" w:sz="0" w:space="0" w:color="auto"/>
      </w:divBdr>
    </w:div>
    <w:div w:id="593319930">
      <w:bodyDiv w:val="1"/>
      <w:marLeft w:val="0"/>
      <w:marRight w:val="0"/>
      <w:marTop w:val="0"/>
      <w:marBottom w:val="0"/>
      <w:divBdr>
        <w:top w:val="none" w:sz="0" w:space="0" w:color="auto"/>
        <w:left w:val="none" w:sz="0" w:space="0" w:color="auto"/>
        <w:bottom w:val="none" w:sz="0" w:space="0" w:color="auto"/>
        <w:right w:val="none" w:sz="0" w:space="0" w:color="auto"/>
      </w:divBdr>
    </w:div>
    <w:div w:id="721827980">
      <w:bodyDiv w:val="1"/>
      <w:marLeft w:val="0"/>
      <w:marRight w:val="0"/>
      <w:marTop w:val="0"/>
      <w:marBottom w:val="0"/>
      <w:divBdr>
        <w:top w:val="none" w:sz="0" w:space="0" w:color="auto"/>
        <w:left w:val="none" w:sz="0" w:space="0" w:color="auto"/>
        <w:bottom w:val="none" w:sz="0" w:space="0" w:color="auto"/>
        <w:right w:val="none" w:sz="0" w:space="0" w:color="auto"/>
      </w:divBdr>
    </w:div>
    <w:div w:id="836727745">
      <w:bodyDiv w:val="1"/>
      <w:marLeft w:val="0"/>
      <w:marRight w:val="0"/>
      <w:marTop w:val="0"/>
      <w:marBottom w:val="0"/>
      <w:divBdr>
        <w:top w:val="none" w:sz="0" w:space="0" w:color="auto"/>
        <w:left w:val="none" w:sz="0" w:space="0" w:color="auto"/>
        <w:bottom w:val="none" w:sz="0" w:space="0" w:color="auto"/>
        <w:right w:val="none" w:sz="0" w:space="0" w:color="auto"/>
      </w:divBdr>
    </w:div>
    <w:div w:id="876627465">
      <w:bodyDiv w:val="1"/>
      <w:marLeft w:val="0"/>
      <w:marRight w:val="0"/>
      <w:marTop w:val="0"/>
      <w:marBottom w:val="0"/>
      <w:divBdr>
        <w:top w:val="none" w:sz="0" w:space="0" w:color="auto"/>
        <w:left w:val="none" w:sz="0" w:space="0" w:color="auto"/>
        <w:bottom w:val="none" w:sz="0" w:space="0" w:color="auto"/>
        <w:right w:val="none" w:sz="0" w:space="0" w:color="auto"/>
      </w:divBdr>
    </w:div>
    <w:div w:id="890190440">
      <w:bodyDiv w:val="1"/>
      <w:marLeft w:val="0"/>
      <w:marRight w:val="0"/>
      <w:marTop w:val="0"/>
      <w:marBottom w:val="0"/>
      <w:divBdr>
        <w:top w:val="none" w:sz="0" w:space="0" w:color="auto"/>
        <w:left w:val="none" w:sz="0" w:space="0" w:color="auto"/>
        <w:bottom w:val="none" w:sz="0" w:space="0" w:color="auto"/>
        <w:right w:val="none" w:sz="0" w:space="0" w:color="auto"/>
      </w:divBdr>
    </w:div>
    <w:div w:id="902985305">
      <w:bodyDiv w:val="1"/>
      <w:marLeft w:val="0"/>
      <w:marRight w:val="0"/>
      <w:marTop w:val="0"/>
      <w:marBottom w:val="0"/>
      <w:divBdr>
        <w:top w:val="none" w:sz="0" w:space="0" w:color="auto"/>
        <w:left w:val="none" w:sz="0" w:space="0" w:color="auto"/>
        <w:bottom w:val="none" w:sz="0" w:space="0" w:color="auto"/>
        <w:right w:val="none" w:sz="0" w:space="0" w:color="auto"/>
      </w:divBdr>
    </w:div>
    <w:div w:id="917712653">
      <w:bodyDiv w:val="1"/>
      <w:marLeft w:val="0"/>
      <w:marRight w:val="0"/>
      <w:marTop w:val="0"/>
      <w:marBottom w:val="0"/>
      <w:divBdr>
        <w:top w:val="none" w:sz="0" w:space="0" w:color="auto"/>
        <w:left w:val="none" w:sz="0" w:space="0" w:color="auto"/>
        <w:bottom w:val="none" w:sz="0" w:space="0" w:color="auto"/>
        <w:right w:val="none" w:sz="0" w:space="0" w:color="auto"/>
      </w:divBdr>
    </w:div>
    <w:div w:id="946737082">
      <w:bodyDiv w:val="1"/>
      <w:marLeft w:val="0"/>
      <w:marRight w:val="0"/>
      <w:marTop w:val="0"/>
      <w:marBottom w:val="0"/>
      <w:divBdr>
        <w:top w:val="none" w:sz="0" w:space="0" w:color="auto"/>
        <w:left w:val="none" w:sz="0" w:space="0" w:color="auto"/>
        <w:bottom w:val="none" w:sz="0" w:space="0" w:color="auto"/>
        <w:right w:val="none" w:sz="0" w:space="0" w:color="auto"/>
      </w:divBdr>
    </w:div>
    <w:div w:id="1012532220">
      <w:bodyDiv w:val="1"/>
      <w:marLeft w:val="0"/>
      <w:marRight w:val="0"/>
      <w:marTop w:val="0"/>
      <w:marBottom w:val="0"/>
      <w:divBdr>
        <w:top w:val="none" w:sz="0" w:space="0" w:color="auto"/>
        <w:left w:val="none" w:sz="0" w:space="0" w:color="auto"/>
        <w:bottom w:val="none" w:sz="0" w:space="0" w:color="auto"/>
        <w:right w:val="none" w:sz="0" w:space="0" w:color="auto"/>
      </w:divBdr>
      <w:divsChild>
        <w:div w:id="676619996">
          <w:marLeft w:val="0"/>
          <w:marRight w:val="0"/>
          <w:marTop w:val="0"/>
          <w:marBottom w:val="0"/>
          <w:divBdr>
            <w:top w:val="none" w:sz="0" w:space="0" w:color="auto"/>
            <w:left w:val="none" w:sz="0" w:space="0" w:color="auto"/>
            <w:bottom w:val="none" w:sz="0" w:space="0" w:color="auto"/>
            <w:right w:val="none" w:sz="0" w:space="0" w:color="auto"/>
          </w:divBdr>
          <w:divsChild>
            <w:div w:id="2098211917">
              <w:marLeft w:val="0"/>
              <w:marRight w:val="0"/>
              <w:marTop w:val="0"/>
              <w:marBottom w:val="0"/>
              <w:divBdr>
                <w:top w:val="none" w:sz="0" w:space="0" w:color="auto"/>
                <w:left w:val="none" w:sz="0" w:space="0" w:color="auto"/>
                <w:bottom w:val="none" w:sz="0" w:space="0" w:color="auto"/>
                <w:right w:val="none" w:sz="0" w:space="0" w:color="auto"/>
              </w:divBdr>
              <w:divsChild>
                <w:div w:id="16392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4335">
      <w:bodyDiv w:val="1"/>
      <w:marLeft w:val="0"/>
      <w:marRight w:val="0"/>
      <w:marTop w:val="0"/>
      <w:marBottom w:val="0"/>
      <w:divBdr>
        <w:top w:val="none" w:sz="0" w:space="0" w:color="auto"/>
        <w:left w:val="none" w:sz="0" w:space="0" w:color="auto"/>
        <w:bottom w:val="none" w:sz="0" w:space="0" w:color="auto"/>
        <w:right w:val="none" w:sz="0" w:space="0" w:color="auto"/>
      </w:divBdr>
      <w:divsChild>
        <w:div w:id="177503896">
          <w:marLeft w:val="0"/>
          <w:marRight w:val="0"/>
          <w:marTop w:val="0"/>
          <w:marBottom w:val="0"/>
          <w:divBdr>
            <w:top w:val="none" w:sz="0" w:space="0" w:color="auto"/>
            <w:left w:val="none" w:sz="0" w:space="0" w:color="auto"/>
            <w:bottom w:val="none" w:sz="0" w:space="0" w:color="auto"/>
            <w:right w:val="none" w:sz="0" w:space="0" w:color="auto"/>
          </w:divBdr>
          <w:divsChild>
            <w:div w:id="1128276494">
              <w:marLeft w:val="0"/>
              <w:marRight w:val="0"/>
              <w:marTop w:val="0"/>
              <w:marBottom w:val="0"/>
              <w:divBdr>
                <w:top w:val="none" w:sz="0" w:space="0" w:color="auto"/>
                <w:left w:val="none" w:sz="0" w:space="0" w:color="auto"/>
                <w:bottom w:val="none" w:sz="0" w:space="0" w:color="auto"/>
                <w:right w:val="none" w:sz="0" w:space="0" w:color="auto"/>
              </w:divBdr>
              <w:divsChild>
                <w:div w:id="152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834">
      <w:bodyDiv w:val="1"/>
      <w:marLeft w:val="0"/>
      <w:marRight w:val="0"/>
      <w:marTop w:val="0"/>
      <w:marBottom w:val="0"/>
      <w:divBdr>
        <w:top w:val="none" w:sz="0" w:space="0" w:color="auto"/>
        <w:left w:val="none" w:sz="0" w:space="0" w:color="auto"/>
        <w:bottom w:val="none" w:sz="0" w:space="0" w:color="auto"/>
        <w:right w:val="none" w:sz="0" w:space="0" w:color="auto"/>
      </w:divBdr>
    </w:div>
    <w:div w:id="112349594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29533625">
      <w:bodyDiv w:val="1"/>
      <w:marLeft w:val="0"/>
      <w:marRight w:val="0"/>
      <w:marTop w:val="0"/>
      <w:marBottom w:val="0"/>
      <w:divBdr>
        <w:top w:val="none" w:sz="0" w:space="0" w:color="auto"/>
        <w:left w:val="none" w:sz="0" w:space="0" w:color="auto"/>
        <w:bottom w:val="none" w:sz="0" w:space="0" w:color="auto"/>
        <w:right w:val="none" w:sz="0" w:space="0" w:color="auto"/>
      </w:divBdr>
      <w:divsChild>
        <w:div w:id="491683200">
          <w:marLeft w:val="0"/>
          <w:marRight w:val="0"/>
          <w:marTop w:val="0"/>
          <w:marBottom w:val="0"/>
          <w:divBdr>
            <w:top w:val="none" w:sz="0" w:space="0" w:color="auto"/>
            <w:left w:val="none" w:sz="0" w:space="0" w:color="auto"/>
            <w:bottom w:val="none" w:sz="0" w:space="0" w:color="auto"/>
            <w:right w:val="none" w:sz="0" w:space="0" w:color="auto"/>
          </w:divBdr>
          <w:divsChild>
            <w:div w:id="1399670970">
              <w:marLeft w:val="0"/>
              <w:marRight w:val="0"/>
              <w:marTop w:val="0"/>
              <w:marBottom w:val="0"/>
              <w:divBdr>
                <w:top w:val="none" w:sz="0" w:space="0" w:color="auto"/>
                <w:left w:val="none" w:sz="0" w:space="0" w:color="auto"/>
                <w:bottom w:val="none" w:sz="0" w:space="0" w:color="auto"/>
                <w:right w:val="none" w:sz="0" w:space="0" w:color="auto"/>
              </w:divBdr>
              <w:divsChild>
                <w:div w:id="17122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45049">
      <w:bodyDiv w:val="1"/>
      <w:marLeft w:val="0"/>
      <w:marRight w:val="0"/>
      <w:marTop w:val="0"/>
      <w:marBottom w:val="0"/>
      <w:divBdr>
        <w:top w:val="none" w:sz="0" w:space="0" w:color="auto"/>
        <w:left w:val="none" w:sz="0" w:space="0" w:color="auto"/>
        <w:bottom w:val="none" w:sz="0" w:space="0" w:color="auto"/>
        <w:right w:val="none" w:sz="0" w:space="0" w:color="auto"/>
      </w:divBdr>
      <w:divsChild>
        <w:div w:id="1345475795">
          <w:marLeft w:val="0"/>
          <w:marRight w:val="0"/>
          <w:marTop w:val="0"/>
          <w:marBottom w:val="0"/>
          <w:divBdr>
            <w:top w:val="none" w:sz="0" w:space="0" w:color="auto"/>
            <w:left w:val="none" w:sz="0" w:space="0" w:color="auto"/>
            <w:bottom w:val="none" w:sz="0" w:space="0" w:color="auto"/>
            <w:right w:val="none" w:sz="0" w:space="0" w:color="auto"/>
          </w:divBdr>
          <w:divsChild>
            <w:div w:id="1875002248">
              <w:marLeft w:val="0"/>
              <w:marRight w:val="0"/>
              <w:marTop w:val="0"/>
              <w:marBottom w:val="0"/>
              <w:divBdr>
                <w:top w:val="none" w:sz="0" w:space="0" w:color="auto"/>
                <w:left w:val="none" w:sz="0" w:space="0" w:color="auto"/>
                <w:bottom w:val="none" w:sz="0" w:space="0" w:color="auto"/>
                <w:right w:val="none" w:sz="0" w:space="0" w:color="auto"/>
              </w:divBdr>
              <w:divsChild>
                <w:div w:id="21212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3889">
      <w:bodyDiv w:val="1"/>
      <w:marLeft w:val="0"/>
      <w:marRight w:val="0"/>
      <w:marTop w:val="0"/>
      <w:marBottom w:val="0"/>
      <w:divBdr>
        <w:top w:val="none" w:sz="0" w:space="0" w:color="auto"/>
        <w:left w:val="none" w:sz="0" w:space="0" w:color="auto"/>
        <w:bottom w:val="none" w:sz="0" w:space="0" w:color="auto"/>
        <w:right w:val="none" w:sz="0" w:space="0" w:color="auto"/>
      </w:divBdr>
    </w:div>
    <w:div w:id="1295333696">
      <w:bodyDiv w:val="1"/>
      <w:marLeft w:val="0"/>
      <w:marRight w:val="0"/>
      <w:marTop w:val="0"/>
      <w:marBottom w:val="0"/>
      <w:divBdr>
        <w:top w:val="none" w:sz="0" w:space="0" w:color="auto"/>
        <w:left w:val="none" w:sz="0" w:space="0" w:color="auto"/>
        <w:bottom w:val="none" w:sz="0" w:space="0" w:color="auto"/>
        <w:right w:val="none" w:sz="0" w:space="0" w:color="auto"/>
      </w:divBdr>
      <w:divsChild>
        <w:div w:id="853765730">
          <w:marLeft w:val="0"/>
          <w:marRight w:val="0"/>
          <w:marTop w:val="0"/>
          <w:marBottom w:val="0"/>
          <w:divBdr>
            <w:top w:val="none" w:sz="0" w:space="0" w:color="auto"/>
            <w:left w:val="none" w:sz="0" w:space="0" w:color="auto"/>
            <w:bottom w:val="none" w:sz="0" w:space="0" w:color="auto"/>
            <w:right w:val="none" w:sz="0" w:space="0" w:color="auto"/>
          </w:divBdr>
          <w:divsChild>
            <w:div w:id="344989439">
              <w:marLeft w:val="0"/>
              <w:marRight w:val="0"/>
              <w:marTop w:val="0"/>
              <w:marBottom w:val="0"/>
              <w:divBdr>
                <w:top w:val="none" w:sz="0" w:space="0" w:color="auto"/>
                <w:left w:val="none" w:sz="0" w:space="0" w:color="auto"/>
                <w:bottom w:val="none" w:sz="0" w:space="0" w:color="auto"/>
                <w:right w:val="none" w:sz="0" w:space="0" w:color="auto"/>
              </w:divBdr>
              <w:divsChild>
                <w:div w:id="62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79235">
      <w:bodyDiv w:val="1"/>
      <w:marLeft w:val="0"/>
      <w:marRight w:val="0"/>
      <w:marTop w:val="0"/>
      <w:marBottom w:val="0"/>
      <w:divBdr>
        <w:top w:val="none" w:sz="0" w:space="0" w:color="auto"/>
        <w:left w:val="none" w:sz="0" w:space="0" w:color="auto"/>
        <w:bottom w:val="none" w:sz="0" w:space="0" w:color="auto"/>
        <w:right w:val="none" w:sz="0" w:space="0" w:color="auto"/>
      </w:divBdr>
    </w:div>
    <w:div w:id="1321151157">
      <w:bodyDiv w:val="1"/>
      <w:marLeft w:val="0"/>
      <w:marRight w:val="0"/>
      <w:marTop w:val="0"/>
      <w:marBottom w:val="0"/>
      <w:divBdr>
        <w:top w:val="none" w:sz="0" w:space="0" w:color="auto"/>
        <w:left w:val="none" w:sz="0" w:space="0" w:color="auto"/>
        <w:bottom w:val="none" w:sz="0" w:space="0" w:color="auto"/>
        <w:right w:val="none" w:sz="0" w:space="0" w:color="auto"/>
      </w:divBdr>
    </w:div>
    <w:div w:id="1385644183">
      <w:bodyDiv w:val="1"/>
      <w:marLeft w:val="0"/>
      <w:marRight w:val="0"/>
      <w:marTop w:val="0"/>
      <w:marBottom w:val="0"/>
      <w:divBdr>
        <w:top w:val="none" w:sz="0" w:space="0" w:color="auto"/>
        <w:left w:val="none" w:sz="0" w:space="0" w:color="auto"/>
        <w:bottom w:val="none" w:sz="0" w:space="0" w:color="auto"/>
        <w:right w:val="none" w:sz="0" w:space="0" w:color="auto"/>
      </w:divBdr>
    </w:div>
    <w:div w:id="1402210554">
      <w:bodyDiv w:val="1"/>
      <w:marLeft w:val="0"/>
      <w:marRight w:val="0"/>
      <w:marTop w:val="0"/>
      <w:marBottom w:val="0"/>
      <w:divBdr>
        <w:top w:val="none" w:sz="0" w:space="0" w:color="auto"/>
        <w:left w:val="none" w:sz="0" w:space="0" w:color="auto"/>
        <w:bottom w:val="none" w:sz="0" w:space="0" w:color="auto"/>
        <w:right w:val="none" w:sz="0" w:space="0" w:color="auto"/>
      </w:divBdr>
    </w:div>
    <w:div w:id="1467699123">
      <w:bodyDiv w:val="1"/>
      <w:marLeft w:val="0"/>
      <w:marRight w:val="0"/>
      <w:marTop w:val="0"/>
      <w:marBottom w:val="0"/>
      <w:divBdr>
        <w:top w:val="none" w:sz="0" w:space="0" w:color="auto"/>
        <w:left w:val="none" w:sz="0" w:space="0" w:color="auto"/>
        <w:bottom w:val="none" w:sz="0" w:space="0" w:color="auto"/>
        <w:right w:val="none" w:sz="0" w:space="0" w:color="auto"/>
      </w:divBdr>
      <w:divsChild>
        <w:div w:id="326133980">
          <w:marLeft w:val="0"/>
          <w:marRight w:val="0"/>
          <w:marTop w:val="0"/>
          <w:marBottom w:val="0"/>
          <w:divBdr>
            <w:top w:val="none" w:sz="0" w:space="0" w:color="auto"/>
            <w:left w:val="none" w:sz="0" w:space="0" w:color="auto"/>
            <w:bottom w:val="none" w:sz="0" w:space="0" w:color="auto"/>
            <w:right w:val="none" w:sz="0" w:space="0" w:color="auto"/>
          </w:divBdr>
          <w:divsChild>
            <w:div w:id="1623028341">
              <w:marLeft w:val="0"/>
              <w:marRight w:val="0"/>
              <w:marTop w:val="0"/>
              <w:marBottom w:val="0"/>
              <w:divBdr>
                <w:top w:val="none" w:sz="0" w:space="0" w:color="auto"/>
                <w:left w:val="none" w:sz="0" w:space="0" w:color="auto"/>
                <w:bottom w:val="none" w:sz="0" w:space="0" w:color="auto"/>
                <w:right w:val="none" w:sz="0" w:space="0" w:color="auto"/>
              </w:divBdr>
              <w:divsChild>
                <w:div w:id="9004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4166">
      <w:bodyDiv w:val="1"/>
      <w:marLeft w:val="0"/>
      <w:marRight w:val="0"/>
      <w:marTop w:val="0"/>
      <w:marBottom w:val="0"/>
      <w:divBdr>
        <w:top w:val="none" w:sz="0" w:space="0" w:color="auto"/>
        <w:left w:val="none" w:sz="0" w:space="0" w:color="auto"/>
        <w:bottom w:val="none" w:sz="0" w:space="0" w:color="auto"/>
        <w:right w:val="none" w:sz="0" w:space="0" w:color="auto"/>
      </w:divBdr>
      <w:divsChild>
        <w:div w:id="684786210">
          <w:marLeft w:val="0"/>
          <w:marRight w:val="0"/>
          <w:marTop w:val="0"/>
          <w:marBottom w:val="0"/>
          <w:divBdr>
            <w:top w:val="none" w:sz="0" w:space="0" w:color="auto"/>
            <w:left w:val="none" w:sz="0" w:space="0" w:color="auto"/>
            <w:bottom w:val="none" w:sz="0" w:space="0" w:color="auto"/>
            <w:right w:val="none" w:sz="0" w:space="0" w:color="auto"/>
          </w:divBdr>
          <w:divsChild>
            <w:div w:id="462815660">
              <w:marLeft w:val="0"/>
              <w:marRight w:val="0"/>
              <w:marTop w:val="0"/>
              <w:marBottom w:val="0"/>
              <w:divBdr>
                <w:top w:val="none" w:sz="0" w:space="0" w:color="auto"/>
                <w:left w:val="none" w:sz="0" w:space="0" w:color="auto"/>
                <w:bottom w:val="none" w:sz="0" w:space="0" w:color="auto"/>
                <w:right w:val="none" w:sz="0" w:space="0" w:color="auto"/>
              </w:divBdr>
              <w:divsChild>
                <w:div w:id="5640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4531">
      <w:bodyDiv w:val="1"/>
      <w:marLeft w:val="0"/>
      <w:marRight w:val="0"/>
      <w:marTop w:val="0"/>
      <w:marBottom w:val="0"/>
      <w:divBdr>
        <w:top w:val="none" w:sz="0" w:space="0" w:color="auto"/>
        <w:left w:val="none" w:sz="0" w:space="0" w:color="auto"/>
        <w:bottom w:val="none" w:sz="0" w:space="0" w:color="auto"/>
        <w:right w:val="none" w:sz="0" w:space="0" w:color="auto"/>
      </w:divBdr>
    </w:div>
    <w:div w:id="1697384796">
      <w:bodyDiv w:val="1"/>
      <w:marLeft w:val="0"/>
      <w:marRight w:val="0"/>
      <w:marTop w:val="0"/>
      <w:marBottom w:val="0"/>
      <w:divBdr>
        <w:top w:val="none" w:sz="0" w:space="0" w:color="auto"/>
        <w:left w:val="none" w:sz="0" w:space="0" w:color="auto"/>
        <w:bottom w:val="none" w:sz="0" w:space="0" w:color="auto"/>
        <w:right w:val="none" w:sz="0" w:space="0" w:color="auto"/>
      </w:divBdr>
    </w:div>
    <w:div w:id="1782335141">
      <w:bodyDiv w:val="1"/>
      <w:marLeft w:val="0"/>
      <w:marRight w:val="0"/>
      <w:marTop w:val="0"/>
      <w:marBottom w:val="0"/>
      <w:divBdr>
        <w:top w:val="none" w:sz="0" w:space="0" w:color="auto"/>
        <w:left w:val="none" w:sz="0" w:space="0" w:color="auto"/>
        <w:bottom w:val="none" w:sz="0" w:space="0" w:color="auto"/>
        <w:right w:val="none" w:sz="0" w:space="0" w:color="auto"/>
      </w:divBdr>
    </w:div>
    <w:div w:id="1869904593">
      <w:bodyDiv w:val="1"/>
      <w:marLeft w:val="0"/>
      <w:marRight w:val="0"/>
      <w:marTop w:val="0"/>
      <w:marBottom w:val="0"/>
      <w:divBdr>
        <w:top w:val="none" w:sz="0" w:space="0" w:color="auto"/>
        <w:left w:val="none" w:sz="0" w:space="0" w:color="auto"/>
        <w:bottom w:val="none" w:sz="0" w:space="0" w:color="auto"/>
        <w:right w:val="none" w:sz="0" w:space="0" w:color="auto"/>
      </w:divBdr>
      <w:divsChild>
        <w:div w:id="794982428">
          <w:marLeft w:val="0"/>
          <w:marRight w:val="0"/>
          <w:marTop w:val="0"/>
          <w:marBottom w:val="0"/>
          <w:divBdr>
            <w:top w:val="none" w:sz="0" w:space="0" w:color="auto"/>
            <w:left w:val="none" w:sz="0" w:space="0" w:color="auto"/>
            <w:bottom w:val="none" w:sz="0" w:space="0" w:color="auto"/>
            <w:right w:val="none" w:sz="0" w:space="0" w:color="auto"/>
          </w:divBdr>
          <w:divsChild>
            <w:div w:id="1824348531">
              <w:marLeft w:val="0"/>
              <w:marRight w:val="0"/>
              <w:marTop w:val="0"/>
              <w:marBottom w:val="0"/>
              <w:divBdr>
                <w:top w:val="none" w:sz="0" w:space="0" w:color="auto"/>
                <w:left w:val="none" w:sz="0" w:space="0" w:color="auto"/>
                <w:bottom w:val="none" w:sz="0" w:space="0" w:color="auto"/>
                <w:right w:val="none" w:sz="0" w:space="0" w:color="auto"/>
              </w:divBdr>
              <w:divsChild>
                <w:div w:id="6229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6634">
      <w:bodyDiv w:val="1"/>
      <w:marLeft w:val="0"/>
      <w:marRight w:val="0"/>
      <w:marTop w:val="0"/>
      <w:marBottom w:val="0"/>
      <w:divBdr>
        <w:top w:val="none" w:sz="0" w:space="0" w:color="auto"/>
        <w:left w:val="none" w:sz="0" w:space="0" w:color="auto"/>
        <w:bottom w:val="none" w:sz="0" w:space="0" w:color="auto"/>
        <w:right w:val="none" w:sz="0" w:space="0" w:color="auto"/>
      </w:divBdr>
      <w:divsChild>
        <w:div w:id="1908419679">
          <w:marLeft w:val="0"/>
          <w:marRight w:val="0"/>
          <w:marTop w:val="0"/>
          <w:marBottom w:val="0"/>
          <w:divBdr>
            <w:top w:val="none" w:sz="0" w:space="0" w:color="auto"/>
            <w:left w:val="none" w:sz="0" w:space="0" w:color="auto"/>
            <w:bottom w:val="none" w:sz="0" w:space="0" w:color="auto"/>
            <w:right w:val="none" w:sz="0" w:space="0" w:color="auto"/>
          </w:divBdr>
        </w:div>
        <w:div w:id="1046182960">
          <w:marLeft w:val="0"/>
          <w:marRight w:val="0"/>
          <w:marTop w:val="0"/>
          <w:marBottom w:val="0"/>
          <w:divBdr>
            <w:top w:val="none" w:sz="0" w:space="0" w:color="auto"/>
            <w:left w:val="none" w:sz="0" w:space="0" w:color="auto"/>
            <w:bottom w:val="none" w:sz="0" w:space="0" w:color="auto"/>
            <w:right w:val="none" w:sz="0" w:space="0" w:color="auto"/>
          </w:divBdr>
          <w:divsChild>
            <w:div w:id="1311906062">
              <w:marLeft w:val="0"/>
              <w:marRight w:val="0"/>
              <w:marTop w:val="0"/>
              <w:marBottom w:val="0"/>
              <w:divBdr>
                <w:top w:val="none" w:sz="0" w:space="0" w:color="auto"/>
                <w:left w:val="none" w:sz="0" w:space="0" w:color="auto"/>
                <w:bottom w:val="none" w:sz="0" w:space="0" w:color="auto"/>
                <w:right w:val="none" w:sz="0" w:space="0" w:color="auto"/>
              </w:divBdr>
              <w:divsChild>
                <w:div w:id="3564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4956">
          <w:marLeft w:val="0"/>
          <w:marRight w:val="0"/>
          <w:marTop w:val="0"/>
          <w:marBottom w:val="0"/>
          <w:divBdr>
            <w:top w:val="none" w:sz="0" w:space="0" w:color="auto"/>
            <w:left w:val="none" w:sz="0" w:space="0" w:color="auto"/>
            <w:bottom w:val="none" w:sz="0" w:space="0" w:color="auto"/>
            <w:right w:val="none" w:sz="0" w:space="0" w:color="auto"/>
          </w:divBdr>
          <w:divsChild>
            <w:div w:id="1223835210">
              <w:marLeft w:val="0"/>
              <w:marRight w:val="0"/>
              <w:marTop w:val="0"/>
              <w:marBottom w:val="0"/>
              <w:divBdr>
                <w:top w:val="none" w:sz="0" w:space="0" w:color="auto"/>
                <w:left w:val="none" w:sz="0" w:space="0" w:color="auto"/>
                <w:bottom w:val="none" w:sz="0" w:space="0" w:color="auto"/>
                <w:right w:val="none" w:sz="0" w:space="0" w:color="auto"/>
              </w:divBdr>
            </w:div>
            <w:div w:id="142356495">
              <w:marLeft w:val="0"/>
              <w:marRight w:val="0"/>
              <w:marTop w:val="0"/>
              <w:marBottom w:val="0"/>
              <w:divBdr>
                <w:top w:val="none" w:sz="0" w:space="0" w:color="auto"/>
                <w:left w:val="none" w:sz="0" w:space="0" w:color="auto"/>
                <w:bottom w:val="none" w:sz="0" w:space="0" w:color="auto"/>
                <w:right w:val="none" w:sz="0" w:space="0" w:color="auto"/>
              </w:divBdr>
              <w:divsChild>
                <w:div w:id="1553615907">
                  <w:marLeft w:val="0"/>
                  <w:marRight w:val="0"/>
                  <w:marTop w:val="0"/>
                  <w:marBottom w:val="0"/>
                  <w:divBdr>
                    <w:top w:val="none" w:sz="0" w:space="0" w:color="auto"/>
                    <w:left w:val="none" w:sz="0" w:space="0" w:color="auto"/>
                    <w:bottom w:val="none" w:sz="0" w:space="0" w:color="auto"/>
                    <w:right w:val="none" w:sz="0" w:space="0" w:color="auto"/>
                  </w:divBdr>
                </w:div>
              </w:divsChild>
            </w:div>
            <w:div w:id="1994598163">
              <w:marLeft w:val="0"/>
              <w:marRight w:val="0"/>
              <w:marTop w:val="0"/>
              <w:marBottom w:val="0"/>
              <w:divBdr>
                <w:top w:val="none" w:sz="0" w:space="0" w:color="auto"/>
                <w:left w:val="none" w:sz="0" w:space="0" w:color="auto"/>
                <w:bottom w:val="none" w:sz="0" w:space="0" w:color="auto"/>
                <w:right w:val="none" w:sz="0" w:space="0" w:color="auto"/>
              </w:divBdr>
              <w:divsChild>
                <w:div w:id="9701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1667">
          <w:marLeft w:val="0"/>
          <w:marRight w:val="0"/>
          <w:marTop w:val="0"/>
          <w:marBottom w:val="0"/>
          <w:divBdr>
            <w:top w:val="none" w:sz="0" w:space="0" w:color="auto"/>
            <w:left w:val="none" w:sz="0" w:space="0" w:color="auto"/>
            <w:bottom w:val="none" w:sz="0" w:space="0" w:color="auto"/>
            <w:right w:val="none" w:sz="0" w:space="0" w:color="auto"/>
          </w:divBdr>
          <w:divsChild>
            <w:div w:id="834493922">
              <w:marLeft w:val="0"/>
              <w:marRight w:val="0"/>
              <w:marTop w:val="0"/>
              <w:marBottom w:val="0"/>
              <w:divBdr>
                <w:top w:val="none" w:sz="0" w:space="0" w:color="auto"/>
                <w:left w:val="none" w:sz="0" w:space="0" w:color="auto"/>
                <w:bottom w:val="none" w:sz="0" w:space="0" w:color="auto"/>
                <w:right w:val="none" w:sz="0" w:space="0" w:color="auto"/>
              </w:divBdr>
              <w:divsChild>
                <w:div w:id="656807171">
                  <w:marLeft w:val="0"/>
                  <w:marRight w:val="0"/>
                  <w:marTop w:val="0"/>
                  <w:marBottom w:val="0"/>
                  <w:divBdr>
                    <w:top w:val="none" w:sz="0" w:space="0" w:color="auto"/>
                    <w:left w:val="none" w:sz="0" w:space="0" w:color="auto"/>
                    <w:bottom w:val="none" w:sz="0" w:space="0" w:color="auto"/>
                    <w:right w:val="none" w:sz="0" w:space="0" w:color="auto"/>
                  </w:divBdr>
                  <w:divsChild>
                    <w:div w:id="660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3998">
          <w:marLeft w:val="0"/>
          <w:marRight w:val="0"/>
          <w:marTop w:val="0"/>
          <w:marBottom w:val="0"/>
          <w:divBdr>
            <w:top w:val="none" w:sz="0" w:space="0" w:color="auto"/>
            <w:left w:val="none" w:sz="0" w:space="0" w:color="auto"/>
            <w:bottom w:val="none" w:sz="0" w:space="0" w:color="auto"/>
            <w:right w:val="none" w:sz="0" w:space="0" w:color="auto"/>
          </w:divBdr>
          <w:divsChild>
            <w:div w:id="1690447781">
              <w:marLeft w:val="0"/>
              <w:marRight w:val="0"/>
              <w:marTop w:val="0"/>
              <w:marBottom w:val="0"/>
              <w:divBdr>
                <w:top w:val="none" w:sz="0" w:space="0" w:color="auto"/>
                <w:left w:val="none" w:sz="0" w:space="0" w:color="auto"/>
                <w:bottom w:val="none" w:sz="0" w:space="0" w:color="auto"/>
                <w:right w:val="none" w:sz="0" w:space="0" w:color="auto"/>
              </w:divBdr>
              <w:divsChild>
                <w:div w:id="2157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0111">
          <w:marLeft w:val="0"/>
          <w:marRight w:val="0"/>
          <w:marTop w:val="0"/>
          <w:marBottom w:val="0"/>
          <w:divBdr>
            <w:top w:val="none" w:sz="0" w:space="0" w:color="auto"/>
            <w:left w:val="none" w:sz="0" w:space="0" w:color="auto"/>
            <w:bottom w:val="none" w:sz="0" w:space="0" w:color="auto"/>
            <w:right w:val="none" w:sz="0" w:space="0" w:color="auto"/>
          </w:divBdr>
          <w:divsChild>
            <w:div w:id="1429886857">
              <w:marLeft w:val="0"/>
              <w:marRight w:val="0"/>
              <w:marTop w:val="0"/>
              <w:marBottom w:val="0"/>
              <w:divBdr>
                <w:top w:val="none" w:sz="0" w:space="0" w:color="auto"/>
                <w:left w:val="none" w:sz="0" w:space="0" w:color="auto"/>
                <w:bottom w:val="none" w:sz="0" w:space="0" w:color="auto"/>
                <w:right w:val="none" w:sz="0" w:space="0" w:color="auto"/>
              </w:divBdr>
              <w:divsChild>
                <w:div w:id="2823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7822">
          <w:marLeft w:val="0"/>
          <w:marRight w:val="0"/>
          <w:marTop w:val="0"/>
          <w:marBottom w:val="0"/>
          <w:divBdr>
            <w:top w:val="none" w:sz="0" w:space="0" w:color="auto"/>
            <w:left w:val="none" w:sz="0" w:space="0" w:color="auto"/>
            <w:bottom w:val="none" w:sz="0" w:space="0" w:color="auto"/>
            <w:right w:val="none" w:sz="0" w:space="0" w:color="auto"/>
          </w:divBdr>
          <w:divsChild>
            <w:div w:id="45104338">
              <w:marLeft w:val="0"/>
              <w:marRight w:val="0"/>
              <w:marTop w:val="0"/>
              <w:marBottom w:val="0"/>
              <w:divBdr>
                <w:top w:val="none" w:sz="0" w:space="0" w:color="auto"/>
                <w:left w:val="none" w:sz="0" w:space="0" w:color="auto"/>
                <w:bottom w:val="none" w:sz="0" w:space="0" w:color="auto"/>
                <w:right w:val="none" w:sz="0" w:space="0" w:color="auto"/>
              </w:divBdr>
              <w:divsChild>
                <w:div w:id="17364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469">
          <w:marLeft w:val="0"/>
          <w:marRight w:val="0"/>
          <w:marTop w:val="0"/>
          <w:marBottom w:val="0"/>
          <w:divBdr>
            <w:top w:val="none" w:sz="0" w:space="0" w:color="auto"/>
            <w:left w:val="none" w:sz="0" w:space="0" w:color="auto"/>
            <w:bottom w:val="none" w:sz="0" w:space="0" w:color="auto"/>
            <w:right w:val="none" w:sz="0" w:space="0" w:color="auto"/>
          </w:divBdr>
          <w:divsChild>
            <w:div w:id="406195728">
              <w:marLeft w:val="0"/>
              <w:marRight w:val="0"/>
              <w:marTop w:val="0"/>
              <w:marBottom w:val="0"/>
              <w:divBdr>
                <w:top w:val="none" w:sz="0" w:space="0" w:color="auto"/>
                <w:left w:val="none" w:sz="0" w:space="0" w:color="auto"/>
                <w:bottom w:val="none" w:sz="0" w:space="0" w:color="auto"/>
                <w:right w:val="none" w:sz="0" w:space="0" w:color="auto"/>
              </w:divBdr>
              <w:divsChild>
                <w:div w:id="6383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5876">
          <w:marLeft w:val="0"/>
          <w:marRight w:val="0"/>
          <w:marTop w:val="0"/>
          <w:marBottom w:val="0"/>
          <w:divBdr>
            <w:top w:val="none" w:sz="0" w:space="0" w:color="auto"/>
            <w:left w:val="none" w:sz="0" w:space="0" w:color="auto"/>
            <w:bottom w:val="none" w:sz="0" w:space="0" w:color="auto"/>
            <w:right w:val="none" w:sz="0" w:space="0" w:color="auto"/>
          </w:divBdr>
          <w:divsChild>
            <w:div w:id="725185859">
              <w:marLeft w:val="0"/>
              <w:marRight w:val="0"/>
              <w:marTop w:val="0"/>
              <w:marBottom w:val="0"/>
              <w:divBdr>
                <w:top w:val="none" w:sz="0" w:space="0" w:color="auto"/>
                <w:left w:val="none" w:sz="0" w:space="0" w:color="auto"/>
                <w:bottom w:val="none" w:sz="0" w:space="0" w:color="auto"/>
                <w:right w:val="none" w:sz="0" w:space="0" w:color="auto"/>
              </w:divBdr>
              <w:divsChild>
                <w:div w:id="33628307">
                  <w:marLeft w:val="0"/>
                  <w:marRight w:val="0"/>
                  <w:marTop w:val="0"/>
                  <w:marBottom w:val="0"/>
                  <w:divBdr>
                    <w:top w:val="none" w:sz="0" w:space="0" w:color="auto"/>
                    <w:left w:val="none" w:sz="0" w:space="0" w:color="auto"/>
                    <w:bottom w:val="none" w:sz="0" w:space="0" w:color="auto"/>
                    <w:right w:val="none" w:sz="0" w:space="0" w:color="auto"/>
                  </w:divBdr>
                </w:div>
              </w:divsChild>
            </w:div>
            <w:div w:id="165247635">
              <w:marLeft w:val="1875"/>
              <w:marRight w:val="0"/>
              <w:marTop w:val="0"/>
              <w:marBottom w:val="0"/>
              <w:divBdr>
                <w:top w:val="none" w:sz="0" w:space="0" w:color="auto"/>
                <w:left w:val="none" w:sz="0" w:space="0" w:color="auto"/>
                <w:bottom w:val="none" w:sz="0" w:space="0" w:color="auto"/>
                <w:right w:val="none" w:sz="0" w:space="0" w:color="auto"/>
              </w:divBdr>
              <w:divsChild>
                <w:div w:id="1055665364">
                  <w:marLeft w:val="0"/>
                  <w:marRight w:val="0"/>
                  <w:marTop w:val="0"/>
                  <w:marBottom w:val="0"/>
                  <w:divBdr>
                    <w:top w:val="none" w:sz="0" w:space="0" w:color="auto"/>
                    <w:left w:val="none" w:sz="0" w:space="0" w:color="auto"/>
                    <w:bottom w:val="none" w:sz="0" w:space="0" w:color="auto"/>
                    <w:right w:val="none" w:sz="0" w:space="0" w:color="auto"/>
                  </w:divBdr>
                </w:div>
                <w:div w:id="14101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0486">
          <w:marLeft w:val="0"/>
          <w:marRight w:val="0"/>
          <w:marTop w:val="0"/>
          <w:marBottom w:val="0"/>
          <w:divBdr>
            <w:top w:val="none" w:sz="0" w:space="0" w:color="auto"/>
            <w:left w:val="none" w:sz="0" w:space="0" w:color="auto"/>
            <w:bottom w:val="none" w:sz="0" w:space="0" w:color="auto"/>
            <w:right w:val="none" w:sz="0" w:space="0" w:color="auto"/>
          </w:divBdr>
          <w:divsChild>
            <w:div w:id="1382246518">
              <w:marLeft w:val="0"/>
              <w:marRight w:val="0"/>
              <w:marTop w:val="0"/>
              <w:marBottom w:val="0"/>
              <w:divBdr>
                <w:top w:val="none" w:sz="0" w:space="0" w:color="auto"/>
                <w:left w:val="none" w:sz="0" w:space="0" w:color="auto"/>
                <w:bottom w:val="none" w:sz="0" w:space="0" w:color="auto"/>
                <w:right w:val="none" w:sz="0" w:space="0" w:color="auto"/>
              </w:divBdr>
              <w:divsChild>
                <w:div w:id="805393279">
                  <w:marLeft w:val="0"/>
                  <w:marRight w:val="0"/>
                  <w:marTop w:val="0"/>
                  <w:marBottom w:val="0"/>
                  <w:divBdr>
                    <w:top w:val="none" w:sz="0" w:space="0" w:color="auto"/>
                    <w:left w:val="none" w:sz="0" w:space="0" w:color="auto"/>
                    <w:bottom w:val="none" w:sz="0" w:space="0" w:color="auto"/>
                    <w:right w:val="none" w:sz="0" w:space="0" w:color="auto"/>
                  </w:divBdr>
                  <w:divsChild>
                    <w:div w:id="298462469">
                      <w:marLeft w:val="0"/>
                      <w:marRight w:val="0"/>
                      <w:marTop w:val="0"/>
                      <w:marBottom w:val="0"/>
                      <w:divBdr>
                        <w:top w:val="none" w:sz="0" w:space="0" w:color="auto"/>
                        <w:left w:val="none" w:sz="0" w:space="0" w:color="auto"/>
                        <w:bottom w:val="none" w:sz="0" w:space="0" w:color="auto"/>
                        <w:right w:val="none" w:sz="0" w:space="0" w:color="auto"/>
                      </w:divBdr>
                      <w:divsChild>
                        <w:div w:id="472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7286">
          <w:marLeft w:val="0"/>
          <w:marRight w:val="0"/>
          <w:marTop w:val="0"/>
          <w:marBottom w:val="0"/>
          <w:divBdr>
            <w:top w:val="none" w:sz="0" w:space="0" w:color="auto"/>
            <w:left w:val="none" w:sz="0" w:space="0" w:color="auto"/>
            <w:bottom w:val="none" w:sz="0" w:space="0" w:color="auto"/>
            <w:right w:val="none" w:sz="0" w:space="0" w:color="auto"/>
          </w:divBdr>
          <w:divsChild>
            <w:div w:id="1183126517">
              <w:marLeft w:val="0"/>
              <w:marRight w:val="0"/>
              <w:marTop w:val="0"/>
              <w:marBottom w:val="0"/>
              <w:divBdr>
                <w:top w:val="none" w:sz="0" w:space="0" w:color="auto"/>
                <w:left w:val="none" w:sz="0" w:space="0" w:color="auto"/>
                <w:bottom w:val="none" w:sz="0" w:space="0" w:color="auto"/>
                <w:right w:val="none" w:sz="0" w:space="0" w:color="auto"/>
              </w:divBdr>
              <w:divsChild>
                <w:div w:id="6815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5226">
      <w:bodyDiv w:val="1"/>
      <w:marLeft w:val="0"/>
      <w:marRight w:val="0"/>
      <w:marTop w:val="0"/>
      <w:marBottom w:val="0"/>
      <w:divBdr>
        <w:top w:val="none" w:sz="0" w:space="0" w:color="auto"/>
        <w:left w:val="none" w:sz="0" w:space="0" w:color="auto"/>
        <w:bottom w:val="none" w:sz="0" w:space="0" w:color="auto"/>
        <w:right w:val="none" w:sz="0" w:space="0" w:color="auto"/>
      </w:divBdr>
    </w:div>
    <w:div w:id="20465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9D8A-0E84-4DAB-B72D-310D8563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Gribbon</dc:creator>
  <cp:lastModifiedBy>George Gribbon</cp:lastModifiedBy>
  <cp:revision>14</cp:revision>
  <dcterms:created xsi:type="dcterms:W3CDTF">2016-02-15T09:43:00Z</dcterms:created>
  <dcterms:modified xsi:type="dcterms:W3CDTF">2016-02-24T12:31:00Z</dcterms:modified>
</cp:coreProperties>
</file>