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CB" w:rsidRPr="00201BCB" w:rsidRDefault="00201BCB" w:rsidP="00035F73">
      <w:pPr>
        <w:shd w:val="clear" w:color="auto" w:fill="FFFFFF" w:themeFill="background1"/>
        <w:jc w:val="center"/>
        <w:rPr>
          <w:b/>
          <w:lang w:val="en"/>
        </w:rPr>
      </w:pPr>
      <w:r>
        <w:br/>
      </w:r>
      <w:r w:rsidRPr="00201BCB">
        <w:rPr>
          <w:rFonts w:ascii="Arial" w:hAnsi="Arial" w:cs="Arial"/>
          <w:b/>
          <w:color w:val="212121"/>
          <w:highlight w:val="lightGray"/>
          <w:shd w:val="clear" w:color="auto" w:fill="AEAAAA" w:themeFill="background2" w:themeFillShade="BF"/>
        </w:rPr>
        <w:t>KEY DATA FOR THE INVESTOR</w:t>
      </w:r>
    </w:p>
    <w:p w:rsidR="00201BCB" w:rsidRDefault="00201BCB" w:rsidP="00035F73">
      <w:pPr>
        <w:pStyle w:val="HTMLPreformatted"/>
        <w:shd w:val="clear" w:color="auto" w:fill="FFFFFF" w:themeFill="background1"/>
        <w:rPr>
          <w:rFonts w:ascii="inherit" w:hAnsi="inherit"/>
          <w:color w:val="212121"/>
          <w:lang w:val="en"/>
        </w:rPr>
      </w:pPr>
      <w:r>
        <w:rPr>
          <w:rFonts w:ascii="inherit" w:hAnsi="inherit"/>
          <w:color w:val="212121"/>
          <w:lang w:val="en"/>
        </w:rPr>
        <w:t>This document provides you with key data on this fund investor should know. It's not about marketing material. The law requires that such information is provided to help you understand the nature</w:t>
      </w:r>
    </w:p>
    <w:p w:rsidR="00201BCB" w:rsidRPr="00201BCB" w:rsidRDefault="00201BCB" w:rsidP="00035F73">
      <w:pPr>
        <w:pStyle w:val="HTMLPreformatted"/>
        <w:shd w:val="clear" w:color="auto" w:fill="FFFFFF" w:themeFill="background1"/>
        <w:rPr>
          <w:rFonts w:ascii="inherit" w:hAnsi="inherit"/>
          <w:color w:val="212121"/>
          <w:lang w:val="en"/>
        </w:rPr>
      </w:pPr>
      <w:r>
        <w:rPr>
          <w:rFonts w:ascii="inherit" w:hAnsi="inherit"/>
          <w:color w:val="212121"/>
          <w:lang w:val="en"/>
        </w:rPr>
        <w:t>Fund and the risks of investing in it. It is advised to read it so you can make a decision based on whether or not to invest in it.</w:t>
      </w:r>
    </w:p>
    <w:p w:rsidR="00240D43" w:rsidRPr="00240D43" w:rsidRDefault="00240D43" w:rsidP="00035F73">
      <w:pPr>
        <w:shd w:val="clear" w:color="auto" w:fill="FFFFFF" w:themeFill="background1"/>
        <w:rPr>
          <w:lang w:val="en"/>
        </w:rPr>
      </w:pPr>
      <w:r w:rsidRPr="00240D43">
        <w:rPr>
          <w:lang w:val="en"/>
        </w:rPr>
        <w:t>Fund and the risks of investing in it. It is advised to read it so you can make a decision</w:t>
      </w:r>
      <w:r>
        <w:rPr>
          <w:lang w:val="en"/>
        </w:rPr>
        <w:t xml:space="preserve"> </w:t>
      </w:r>
      <w:r w:rsidRPr="00240D43">
        <w:rPr>
          <w:lang w:val="en"/>
        </w:rPr>
        <w:t>based on</w:t>
      </w:r>
      <w:r>
        <w:rPr>
          <w:lang w:val="en"/>
        </w:rPr>
        <w:t xml:space="preserve"> whether or not to invest in it</w:t>
      </w:r>
      <w:r w:rsidRPr="00240D43">
        <w:rPr>
          <w:lang w:val="en"/>
        </w:rPr>
        <w:t>.</w:t>
      </w:r>
    </w:p>
    <w:p w:rsidR="00AA122F" w:rsidRDefault="00201BCB" w:rsidP="00035F73">
      <w:pPr>
        <w:shd w:val="clear" w:color="auto" w:fill="FFFFFF" w:themeFill="background1"/>
        <w:rPr>
          <w:lang w:val="en"/>
        </w:rPr>
      </w:pPr>
      <w:r w:rsidRPr="00201BCB">
        <w:rPr>
          <w:rFonts w:ascii="Times New Roman Negrita" w:hAnsi="Times New Roman Negrita" w:cs="Times New Roman Negrita"/>
          <w:b/>
          <w:sz w:val="28"/>
          <w:szCs w:val="28"/>
        </w:rPr>
        <w:t>FCS GESTION FLEXIBLE</w:t>
      </w:r>
      <w:r w:rsidR="00240D43">
        <w:rPr>
          <w:lang w:val="en"/>
        </w:rPr>
        <w:t xml:space="preserve">, </w:t>
      </w:r>
      <w:r w:rsidR="00240D43" w:rsidRPr="00201BCB">
        <w:rPr>
          <w:b/>
          <w:sz w:val="32"/>
          <w:lang w:val="en"/>
        </w:rPr>
        <w:t>FI</w:t>
      </w:r>
      <w:r w:rsidR="00240D43">
        <w:rPr>
          <w:lang w:val="en"/>
        </w:rPr>
        <w:t xml:space="preserve"> (ISIN: ES0165947005</w:t>
      </w:r>
      <w:r w:rsidR="00240D43" w:rsidRPr="00240D43">
        <w:rPr>
          <w:lang w:val="en"/>
        </w:rPr>
        <w:t>)</w:t>
      </w:r>
    </w:p>
    <w:p w:rsidR="00201BCB" w:rsidRPr="00201BCB" w:rsidRDefault="00201BCB" w:rsidP="00035F73">
      <w:pPr>
        <w:pStyle w:val="HTMLPreformatted"/>
        <w:shd w:val="clear" w:color="auto" w:fill="FFFFFF" w:themeFill="background1"/>
        <w:rPr>
          <w:rFonts w:ascii="inherit" w:hAnsi="inherit"/>
          <w:b/>
          <w:color w:val="212121"/>
        </w:rPr>
      </w:pPr>
      <w:r w:rsidRPr="00201BCB">
        <w:rPr>
          <w:rFonts w:ascii="inherit" w:hAnsi="inherit"/>
          <w:b/>
          <w:color w:val="212121"/>
          <w:lang w:val="en"/>
        </w:rPr>
        <w:t>Fund Registration No. at the CNMV:</w:t>
      </w:r>
      <w:r>
        <w:rPr>
          <w:rFonts w:ascii="inherit" w:hAnsi="inherit"/>
          <w:b/>
          <w:color w:val="212121"/>
          <w:lang w:val="en"/>
        </w:rPr>
        <w:t xml:space="preserve"> </w:t>
      </w:r>
      <w:r w:rsidRPr="00201BCB">
        <w:rPr>
          <w:rFonts w:ascii="inherit" w:hAnsi="inherit"/>
          <w:color w:val="212121"/>
          <w:lang w:val="en"/>
        </w:rPr>
        <w:t>4789</w:t>
      </w:r>
    </w:p>
    <w:p w:rsidR="00201BCB" w:rsidRDefault="00201BCB" w:rsidP="00035F73">
      <w:pPr>
        <w:pStyle w:val="HTMLPreformatted"/>
        <w:shd w:val="clear" w:color="auto" w:fill="FFFFFF" w:themeFill="background1"/>
        <w:rPr>
          <w:rFonts w:ascii="Times New Roman" w:hAnsi="Times New Roman" w:cs="Times New Roman"/>
        </w:rPr>
      </w:pPr>
      <w:r w:rsidRPr="00201BCB">
        <w:rPr>
          <w:rFonts w:ascii="inherit" w:hAnsi="inherit"/>
          <w:b/>
          <w:color w:val="212121"/>
          <w:lang w:val="en"/>
        </w:rPr>
        <w:t>The fund manager is</w:t>
      </w:r>
      <w:r>
        <w:rPr>
          <w:rFonts w:ascii="inherit" w:hAnsi="inherit"/>
          <w:b/>
          <w:color w:val="212121"/>
          <w:lang w:val="en"/>
        </w:rPr>
        <w:t xml:space="preserve"> </w:t>
      </w:r>
      <w:r>
        <w:rPr>
          <w:rFonts w:ascii="Times New Roman" w:hAnsi="Times New Roman" w:cs="Times New Roman"/>
        </w:rPr>
        <w:t>NOVO BANCO GESTION, SGIIC, S.A. (</w:t>
      </w:r>
      <w:proofErr w:type="spellStart"/>
      <w:r>
        <w:rPr>
          <w:rFonts w:ascii="Times New Roman" w:hAnsi="Times New Roman" w:cs="Times New Roman"/>
        </w:rPr>
        <w:t>Grupo</w:t>
      </w:r>
      <w:proofErr w:type="spellEnd"/>
      <w:r>
        <w:rPr>
          <w:rFonts w:ascii="Times New Roman" w:hAnsi="Times New Roman" w:cs="Times New Roman"/>
        </w:rPr>
        <w:t>: NOVO BANCO)</w:t>
      </w:r>
    </w:p>
    <w:p w:rsidR="00201BCB" w:rsidRPr="00201BCB" w:rsidRDefault="00201BCB" w:rsidP="00035F73">
      <w:pPr>
        <w:pStyle w:val="HTMLPreformatted"/>
        <w:shd w:val="clear" w:color="auto" w:fill="FFFFFF" w:themeFill="background1"/>
        <w:rPr>
          <w:rFonts w:ascii="inherit" w:hAnsi="inherit"/>
          <w:b/>
          <w:color w:val="212121"/>
        </w:rPr>
      </w:pPr>
      <w:r w:rsidRPr="00201BCB">
        <w:rPr>
          <w:rFonts w:ascii="Times New Roman Negrita" w:hAnsi="Times New Roman Negrita" w:cs="Times New Roman Negrita"/>
          <w:b/>
        </w:rPr>
        <w:t>Sub:</w:t>
      </w:r>
      <w:r>
        <w:rPr>
          <w:rFonts w:ascii="Times New Roman Negrita" w:hAnsi="Times New Roman Negrita" w:cs="Times New Roman Negrita"/>
        </w:rPr>
        <w:t xml:space="preserve"> </w:t>
      </w:r>
      <w:r>
        <w:rPr>
          <w:rFonts w:ascii="Times New Roman" w:hAnsi="Times New Roman" w:cs="Times New Roman"/>
        </w:rPr>
        <w:t>FCS ASSET MANAGEMENT LIMITED</w:t>
      </w:r>
    </w:p>
    <w:p w:rsidR="00201BCB" w:rsidRPr="00201BCB" w:rsidRDefault="00201BCB" w:rsidP="00035F73">
      <w:pPr>
        <w:shd w:val="clear" w:color="auto" w:fill="FFFFFF" w:themeFill="background1"/>
        <w:rPr>
          <w:lang w:val="en"/>
        </w:rPr>
      </w:pPr>
    </w:p>
    <w:p w:rsidR="00201BCB" w:rsidRPr="00201BCB" w:rsidRDefault="00201BCB" w:rsidP="00035F73">
      <w:pPr>
        <w:pStyle w:val="HTMLPreformatted"/>
        <w:shd w:val="clear" w:color="auto" w:fill="D0CECE" w:themeFill="background2" w:themeFillShade="E6"/>
        <w:rPr>
          <w:rFonts w:ascii="inherit" w:hAnsi="inherit"/>
          <w:b/>
          <w:color w:val="212121"/>
        </w:rPr>
      </w:pPr>
      <w:r w:rsidRPr="00201BCB">
        <w:rPr>
          <w:rFonts w:ascii="inherit" w:hAnsi="inherit"/>
          <w:b/>
          <w:color w:val="212121"/>
          <w:lang w:val="en"/>
        </w:rPr>
        <w:t>Objectives and Investment Policy</w:t>
      </w:r>
    </w:p>
    <w:p w:rsidR="007267E2" w:rsidRPr="00240D43" w:rsidRDefault="007267E2" w:rsidP="00240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sz w:val="28"/>
          <w:szCs w:val="20"/>
          <w:lang w:val="en" w:eastAsia="en-GB"/>
        </w:rPr>
      </w:pPr>
    </w:p>
    <w:p w:rsidR="00201BCB" w:rsidRDefault="00201BCB" w:rsidP="00201BCB">
      <w:pPr>
        <w:pStyle w:val="HTMLPreformatted"/>
        <w:shd w:val="clear" w:color="auto" w:fill="FFFFFF"/>
        <w:rPr>
          <w:rFonts w:ascii="inherit" w:hAnsi="inherit"/>
          <w:color w:val="212121"/>
          <w:lang w:val="en"/>
        </w:rPr>
      </w:pPr>
      <w:r w:rsidRPr="00035F73">
        <w:rPr>
          <w:rFonts w:ascii="inherit" w:hAnsi="inherit"/>
          <w:b/>
          <w:color w:val="212121"/>
          <w:lang w:val="en"/>
        </w:rPr>
        <w:t>The fund belongs to the category:</w:t>
      </w:r>
      <w:r>
        <w:rPr>
          <w:rFonts w:ascii="inherit" w:hAnsi="inherit"/>
          <w:color w:val="212121"/>
          <w:lang w:val="en"/>
        </w:rPr>
        <w:t xml:space="preserve"> Investment Fund. GLOBAL.</w:t>
      </w:r>
    </w:p>
    <w:p w:rsidR="00201BCB" w:rsidRDefault="00201BCB" w:rsidP="00201BCB">
      <w:pPr>
        <w:pStyle w:val="HTMLPreformatted"/>
        <w:shd w:val="clear" w:color="auto" w:fill="FFFFFF"/>
        <w:rPr>
          <w:rFonts w:ascii="inherit" w:hAnsi="inherit"/>
          <w:color w:val="212121"/>
          <w:lang w:val="en"/>
        </w:rPr>
      </w:pPr>
      <w:r w:rsidRPr="00035F73">
        <w:rPr>
          <w:rFonts w:ascii="inherit" w:hAnsi="inherit"/>
          <w:b/>
          <w:color w:val="212121"/>
          <w:lang w:val="en"/>
        </w:rPr>
        <w:t>Management objective:</w:t>
      </w:r>
      <w:r>
        <w:rPr>
          <w:rFonts w:ascii="inherit" w:hAnsi="inherit"/>
          <w:color w:val="212121"/>
          <w:lang w:val="en"/>
        </w:rPr>
        <w:t xml:space="preserve"> The fund does not have a specific performance objective. The management objective is to obtain an appropriate to the objective of maximum volatility of 10 % annual return.</w:t>
      </w:r>
    </w:p>
    <w:p w:rsidR="00201BCB" w:rsidRDefault="00201BCB" w:rsidP="00201BCB">
      <w:pPr>
        <w:pStyle w:val="HTMLPreformatted"/>
        <w:shd w:val="clear" w:color="auto" w:fill="FFFFFF"/>
        <w:rPr>
          <w:rFonts w:ascii="inherit" w:hAnsi="inherit"/>
          <w:color w:val="212121"/>
          <w:lang w:val="en"/>
        </w:rPr>
      </w:pPr>
      <w:r w:rsidRPr="00035F73">
        <w:rPr>
          <w:rFonts w:ascii="inherit" w:hAnsi="inherit"/>
          <w:b/>
          <w:color w:val="212121"/>
          <w:lang w:val="en"/>
        </w:rPr>
        <w:t>Investment policy</w:t>
      </w:r>
      <w:r>
        <w:rPr>
          <w:rFonts w:ascii="inherit" w:hAnsi="inherit"/>
          <w:color w:val="212121"/>
          <w:lang w:val="en"/>
        </w:rPr>
        <w:t xml:space="preserve"> diversified may invest directly or indirectly via CII way, equity and fixed income, without any preset percentage asset.</w:t>
      </w:r>
    </w:p>
    <w:p w:rsidR="00201BCB" w:rsidRDefault="00201BCB" w:rsidP="00201BCB">
      <w:pPr>
        <w:pStyle w:val="HTMLPreformatted"/>
        <w:shd w:val="clear" w:color="auto" w:fill="FFFFFF"/>
        <w:rPr>
          <w:rFonts w:ascii="inherit" w:hAnsi="inherit"/>
          <w:color w:val="212121"/>
          <w:lang w:val="en"/>
        </w:rPr>
      </w:pPr>
      <w:r>
        <w:rPr>
          <w:rFonts w:ascii="inherit" w:hAnsi="inherit"/>
          <w:color w:val="212121"/>
          <w:lang w:val="en"/>
        </w:rPr>
        <w:t>In fixed income assets may be invested in public and / or private (including deposits and money market instruments whether listed or not , which are liquid) , not limited by credit quality , which can be up to 100% in assets poor quality and even without rating. The average duration of the port</w:t>
      </w:r>
      <w:r w:rsidR="00035F73">
        <w:rPr>
          <w:rFonts w:ascii="inherit" w:hAnsi="inherit"/>
          <w:color w:val="212121"/>
          <w:lang w:val="en"/>
        </w:rPr>
        <w:t>folio will be between 1-6 years</w:t>
      </w:r>
      <w:r>
        <w:rPr>
          <w:rFonts w:ascii="inherit" w:hAnsi="inherit"/>
          <w:color w:val="212121"/>
          <w:lang w:val="en"/>
        </w:rPr>
        <w:t>, barring exceptional circumstances</w:t>
      </w:r>
    </w:p>
    <w:p w:rsidR="00201BCB" w:rsidRDefault="00201BCB" w:rsidP="00201BCB">
      <w:pPr>
        <w:pStyle w:val="HTMLPreformatted"/>
        <w:shd w:val="clear" w:color="auto" w:fill="FFFFFF"/>
        <w:rPr>
          <w:rFonts w:ascii="inherit" w:hAnsi="inherit"/>
          <w:color w:val="212121"/>
        </w:rPr>
      </w:pPr>
      <w:r>
        <w:rPr>
          <w:rFonts w:ascii="inherit" w:hAnsi="inherit"/>
          <w:color w:val="212121"/>
          <w:lang w:val="en"/>
        </w:rPr>
        <w:t>From the market.</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Equity is not predetermined sector or capitalization.</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It may invest up to 50% of total exposure, through financial instruments, stock dividends or stock indices OECD credit risk of government and private issuers OECD, volatility and variance index</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OECD equities and inflation in OECD and emerging countries.</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Both issuers and the markets in which the assets will be mainly traded OECD, may invest up to</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40% of the total exposure in issuers and / or emerging markets.</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The currency risk may reach 100% of the total exposure.</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It may invest up to 100% of assets in financial IIC qualifying asset to be harmonized or not owned or not to the group of the Manager. It will not invest more than 30% in UCITS not harmonized.</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The maximum exposure to market risk by using derivatives is equity.</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It may invest more than 35% in value of an EU state, an autonomous region, a local authority, the</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International organizations of which Spain is a member, and states no less than that of Spain solvency.</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It may operate with derivatives traded on organized derivatives markets for the purpose of hedging and investment and not traded on organized derivatives for the purpose of hedging and investment markets.</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It may invest up to 10% set in assets that could be made at higher risk than the rest of the investments, among others, its liquidity, issuer type or degree of investor protection.</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The fund is actively managed, which may increase their costs.</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This participation is accumulation, i.e., the yields obtained are reinvested.</w:t>
      </w: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The participant may subscribe and redeem units on a daily basis.</w:t>
      </w:r>
    </w:p>
    <w:p w:rsidR="00035F73" w:rsidRDefault="00035F73" w:rsidP="00035F73">
      <w:pPr>
        <w:pStyle w:val="HTMLPreformatted"/>
        <w:spacing w:line="0" w:lineRule="atLeast"/>
        <w:rPr>
          <w:rFonts w:ascii="inherit" w:hAnsi="inherit"/>
          <w:color w:val="212121"/>
          <w:lang w:val="en"/>
        </w:rPr>
      </w:pPr>
      <w:r w:rsidRPr="00035F73">
        <w:rPr>
          <w:rFonts w:ascii="inherit" w:hAnsi="inherit"/>
          <w:b/>
          <w:color w:val="212121"/>
          <w:lang w:val="en"/>
        </w:rPr>
        <w:t>If you want to subscribe or redeem shares</w:t>
      </w:r>
      <w:r>
        <w:rPr>
          <w:rFonts w:ascii="inherit" w:hAnsi="inherit"/>
          <w:color w:val="212121"/>
          <w:lang w:val="en"/>
        </w:rPr>
        <w:t xml:space="preserve"> of the net asset value applicable will be the same day from the date of request. However, orders submitted after 16:00 or on a non-business day will be operated together with made the next business day. Traders may fix cutting hours earlier than indicated.</w:t>
      </w:r>
    </w:p>
    <w:p w:rsidR="00035F73" w:rsidRPr="00035F73" w:rsidRDefault="00035F73" w:rsidP="00035F73">
      <w:pPr>
        <w:pStyle w:val="HTMLPreformatted"/>
        <w:spacing w:line="0" w:lineRule="atLeast"/>
        <w:rPr>
          <w:rFonts w:ascii="inherit" w:hAnsi="inherit"/>
          <w:color w:val="212121"/>
          <w:lang w:val="en"/>
        </w:rPr>
      </w:pPr>
      <w:r w:rsidRPr="00035F73">
        <w:rPr>
          <w:rFonts w:ascii="inherit" w:hAnsi="inherit"/>
          <w:b/>
          <w:color w:val="212121"/>
          <w:lang w:val="en"/>
        </w:rPr>
        <w:t>Recommendation:</w:t>
      </w:r>
      <w:r>
        <w:rPr>
          <w:rFonts w:ascii="inherit" w:hAnsi="inherit"/>
          <w:color w:val="212121"/>
          <w:lang w:val="en"/>
        </w:rPr>
        <w:t xml:space="preserve"> This fund may not be appropriate for investors who plan to withdraw their money within less than 5 years.</w:t>
      </w:r>
    </w:p>
    <w:p w:rsidR="00035F73" w:rsidRDefault="00035F73" w:rsidP="00035F73">
      <w:pPr>
        <w:pStyle w:val="HTMLPreformatted"/>
        <w:shd w:val="clear" w:color="auto" w:fill="FFFFFF"/>
        <w:rPr>
          <w:rFonts w:ascii="inherit" w:hAnsi="inherit"/>
          <w:color w:val="212121"/>
        </w:rPr>
      </w:pPr>
    </w:p>
    <w:p w:rsidR="00240D43" w:rsidRPr="00240D43" w:rsidRDefault="00035F73" w:rsidP="00035F73">
      <w:pPr>
        <w:autoSpaceDE w:val="0"/>
        <w:autoSpaceDN w:val="0"/>
        <w:adjustRightInd w:val="0"/>
        <w:spacing w:after="0" w:line="240" w:lineRule="auto"/>
        <w:rPr>
          <w:rFonts w:eastAsia="Times New Roman" w:cs="Courier New"/>
          <w:color w:val="212121"/>
          <w:szCs w:val="20"/>
          <w:lang w:eastAsia="en-GB"/>
        </w:rPr>
      </w:pPr>
      <w:r>
        <w:rPr>
          <w:rFonts w:ascii="Times New Roman" w:hAnsi="Times New Roman" w:cs="Times New Roman"/>
        </w:rPr>
        <w:t xml:space="preserve"> </w:t>
      </w:r>
    </w:p>
    <w:p w:rsidR="00035F73" w:rsidRDefault="00035F73"/>
    <w:p w:rsidR="00035F73" w:rsidRDefault="007267E2" w:rsidP="00035F73">
      <w:pPr>
        <w:pStyle w:val="HTMLPreformatted"/>
        <w:shd w:val="clear" w:color="auto" w:fill="FFFFFF"/>
        <w:rPr>
          <w:rFonts w:ascii="inherit" w:hAnsi="inherit"/>
          <w:color w:val="212121"/>
        </w:rPr>
      </w:pPr>
      <w:r>
        <w:br/>
      </w:r>
    </w:p>
    <w:p w:rsidR="00035F73" w:rsidRPr="00035F73" w:rsidRDefault="00035F73" w:rsidP="00035F73">
      <w:pPr>
        <w:pStyle w:val="HTMLPreformatted"/>
        <w:shd w:val="clear" w:color="auto" w:fill="D0CECE" w:themeFill="background2" w:themeFillShade="E6"/>
        <w:rPr>
          <w:rFonts w:ascii="inherit" w:hAnsi="inherit"/>
          <w:b/>
          <w:color w:val="212121"/>
        </w:rPr>
      </w:pPr>
      <w:r w:rsidRPr="00035F73">
        <w:rPr>
          <w:rFonts w:ascii="inherit" w:hAnsi="inherit"/>
          <w:b/>
          <w:color w:val="212121"/>
          <w:lang w:val="en"/>
        </w:rPr>
        <w:lastRenderedPageBreak/>
        <w:t>Risk and Reward Profile</w:t>
      </w:r>
    </w:p>
    <w:p w:rsidR="00035F73" w:rsidRDefault="00035F73" w:rsidP="00035F73">
      <w:pPr>
        <w:pStyle w:val="HTMLPreformatted"/>
        <w:shd w:val="clear" w:color="auto" w:fill="FFFFFF"/>
        <w:rPr>
          <w:rFonts w:ascii="inherit" w:hAnsi="inherit"/>
          <w:color w:val="212121"/>
        </w:rPr>
      </w:pPr>
      <w:r>
        <w:rPr>
          <w:rFonts w:ascii="inherit" w:hAnsi="inherit"/>
          <w:color w:val="212121"/>
          <w:lang w:val="en"/>
        </w:rPr>
        <w:t>&lt;- Potentially lower return</w:t>
      </w:r>
      <w:r w:rsidR="007267E2">
        <w:rPr>
          <w:rFonts w:asciiTheme="minorHAnsi" w:hAnsiTheme="minorHAnsi"/>
          <w:color w:val="212121"/>
          <w:sz w:val="22"/>
          <w:lang w:val="en"/>
        </w:rPr>
        <w:tab/>
      </w:r>
      <w:r>
        <w:rPr>
          <w:rFonts w:ascii="inherit" w:hAnsi="inherit"/>
          <w:color w:val="212121"/>
          <w:lang w:val="en"/>
        </w:rPr>
        <w:t>potentially higher returns -&gt;</w:t>
      </w:r>
    </w:p>
    <w:p w:rsidR="007267E2" w:rsidRPr="00035F73" w:rsidRDefault="007267E2" w:rsidP="007267E2">
      <w:pPr>
        <w:pStyle w:val="HTMLPreformatted"/>
        <w:shd w:val="clear" w:color="auto" w:fill="FFFFFF"/>
        <w:rPr>
          <w:rFonts w:ascii="inherit" w:hAnsi="inherit"/>
          <w:color w:val="212121"/>
        </w:rPr>
      </w:pPr>
    </w:p>
    <w:p w:rsidR="00035F73" w:rsidRDefault="00035F73" w:rsidP="00035F73">
      <w:pPr>
        <w:pStyle w:val="HTMLPreformatted"/>
        <w:shd w:val="clear" w:color="auto" w:fill="FFFFFF"/>
        <w:rPr>
          <w:rFonts w:ascii="inherit" w:hAnsi="inherit"/>
          <w:color w:val="212121"/>
        </w:rPr>
      </w:pPr>
      <w:r>
        <w:rPr>
          <w:rFonts w:ascii="inherit" w:hAnsi="inherit"/>
          <w:color w:val="212121"/>
          <w:lang w:val="en"/>
        </w:rPr>
        <w:t>&lt;- Less risk</w:t>
      </w:r>
      <w:r w:rsidR="007267E2">
        <w:rPr>
          <w:rFonts w:asciiTheme="minorHAnsi" w:hAnsiTheme="minorHAnsi" w:cs="Arial"/>
          <w:color w:val="212121"/>
          <w:sz w:val="22"/>
          <w:szCs w:val="22"/>
          <w:shd w:val="clear" w:color="auto" w:fill="FFFFFF"/>
        </w:rPr>
        <w:tab/>
      </w:r>
      <w:r>
        <w:rPr>
          <w:rFonts w:ascii="inherit" w:hAnsi="inherit"/>
          <w:color w:val="212121"/>
          <w:lang w:val="en"/>
        </w:rPr>
        <w:t>increased risk -&gt;</w:t>
      </w:r>
    </w:p>
    <w:p w:rsidR="007267E2" w:rsidRDefault="007267E2" w:rsidP="007267E2">
      <w:pPr>
        <w:pStyle w:val="HTMLPreformatted"/>
        <w:shd w:val="clear" w:color="auto" w:fill="FFFFFF"/>
        <w:rPr>
          <w:rFonts w:ascii="inherit" w:hAnsi="inherit"/>
          <w:color w:val="212121"/>
        </w:rPr>
      </w:pPr>
    </w:p>
    <w:p w:rsidR="00035F73" w:rsidRDefault="00035F73" w:rsidP="00035F73">
      <w:pPr>
        <w:pStyle w:val="HTMLPreformatted"/>
        <w:shd w:val="clear" w:color="auto" w:fill="FFFFFF"/>
        <w:rPr>
          <w:rFonts w:ascii="inherit" w:hAnsi="inherit"/>
          <w:color w:val="212121"/>
        </w:rPr>
      </w:pPr>
      <w:r>
        <w:rPr>
          <w:rFonts w:ascii="inherit" w:hAnsi="inherit"/>
          <w:color w:val="212121"/>
          <w:lang w:val="en"/>
        </w:rPr>
        <w:t>The "1" does not mean that the investment is</w:t>
      </w:r>
    </w:p>
    <w:p w:rsidR="007267E2" w:rsidRDefault="007267E2" w:rsidP="007267E2">
      <w:pPr>
        <w:pStyle w:val="HTMLPreformatted"/>
        <w:shd w:val="clear" w:color="auto" w:fill="FFFFFF"/>
        <w:rPr>
          <w:rFonts w:ascii="inherit" w:hAnsi="inherit"/>
          <w:color w:val="212121"/>
          <w:sz w:val="22"/>
          <w:lang w:val="en"/>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267E2" w:rsidTr="007267E2">
        <w:tc>
          <w:tcPr>
            <w:tcW w:w="1288" w:type="dxa"/>
          </w:tcPr>
          <w:p w:rsidR="007267E2" w:rsidRPr="007267E2" w:rsidRDefault="007267E2" w:rsidP="007267E2">
            <w:pPr>
              <w:pStyle w:val="HTMLPreformatted"/>
              <w:jc w:val="center"/>
              <w:rPr>
                <w:rFonts w:asciiTheme="minorHAnsi" w:hAnsiTheme="minorHAnsi"/>
                <w:color w:val="212121"/>
                <w:sz w:val="22"/>
              </w:rPr>
            </w:pPr>
            <w:r>
              <w:rPr>
                <w:rFonts w:asciiTheme="minorHAnsi" w:hAnsiTheme="minorHAnsi"/>
                <w:color w:val="212121"/>
                <w:sz w:val="22"/>
              </w:rPr>
              <w:t>1</w:t>
            </w:r>
          </w:p>
        </w:tc>
        <w:tc>
          <w:tcPr>
            <w:tcW w:w="1288" w:type="dxa"/>
          </w:tcPr>
          <w:p w:rsidR="007267E2" w:rsidRDefault="007267E2" w:rsidP="007267E2">
            <w:pPr>
              <w:pStyle w:val="HTMLPreformatted"/>
              <w:jc w:val="center"/>
              <w:rPr>
                <w:rFonts w:ascii="inherit" w:hAnsi="inherit"/>
                <w:color w:val="212121"/>
              </w:rPr>
            </w:pPr>
            <w:r>
              <w:rPr>
                <w:rFonts w:ascii="inherit" w:hAnsi="inherit"/>
                <w:color w:val="212121"/>
              </w:rPr>
              <w:t>2</w:t>
            </w:r>
          </w:p>
        </w:tc>
        <w:tc>
          <w:tcPr>
            <w:tcW w:w="1288" w:type="dxa"/>
          </w:tcPr>
          <w:p w:rsidR="007267E2" w:rsidRDefault="007267E2" w:rsidP="007267E2">
            <w:pPr>
              <w:pStyle w:val="HTMLPreformatted"/>
              <w:jc w:val="center"/>
              <w:rPr>
                <w:rFonts w:ascii="inherit" w:hAnsi="inherit"/>
                <w:color w:val="212121"/>
              </w:rPr>
            </w:pPr>
            <w:r>
              <w:rPr>
                <w:rFonts w:ascii="inherit" w:hAnsi="inherit"/>
                <w:color w:val="212121"/>
              </w:rPr>
              <w:t>3</w:t>
            </w:r>
          </w:p>
        </w:tc>
        <w:tc>
          <w:tcPr>
            <w:tcW w:w="1288" w:type="dxa"/>
            <w:shd w:val="clear" w:color="auto" w:fill="AEAAAA" w:themeFill="background2" w:themeFillShade="BF"/>
          </w:tcPr>
          <w:p w:rsidR="007267E2" w:rsidRPr="007267E2" w:rsidRDefault="007267E2" w:rsidP="007267E2">
            <w:pPr>
              <w:pStyle w:val="HTMLPreformatted"/>
              <w:tabs>
                <w:tab w:val="center" w:pos="536"/>
              </w:tabs>
              <w:rPr>
                <w:rFonts w:ascii="inherit" w:hAnsi="inherit"/>
                <w:b/>
                <w:color w:val="212121"/>
              </w:rPr>
            </w:pPr>
            <w:r>
              <w:rPr>
                <w:rFonts w:ascii="inherit" w:hAnsi="inherit"/>
                <w:color w:val="212121"/>
              </w:rPr>
              <w:tab/>
            </w:r>
            <w:r w:rsidRPr="007267E2">
              <w:rPr>
                <w:rFonts w:ascii="inherit" w:hAnsi="inherit"/>
                <w:b/>
                <w:color w:val="212121"/>
              </w:rPr>
              <w:t>4</w:t>
            </w:r>
          </w:p>
        </w:tc>
        <w:tc>
          <w:tcPr>
            <w:tcW w:w="1288" w:type="dxa"/>
          </w:tcPr>
          <w:p w:rsidR="007267E2" w:rsidRDefault="007267E2" w:rsidP="007267E2">
            <w:pPr>
              <w:pStyle w:val="HTMLPreformatted"/>
              <w:jc w:val="center"/>
              <w:rPr>
                <w:rFonts w:ascii="inherit" w:hAnsi="inherit"/>
                <w:color w:val="212121"/>
              </w:rPr>
            </w:pPr>
            <w:r>
              <w:rPr>
                <w:rFonts w:ascii="inherit" w:hAnsi="inherit"/>
                <w:color w:val="212121"/>
              </w:rPr>
              <w:t>5</w:t>
            </w:r>
          </w:p>
        </w:tc>
        <w:tc>
          <w:tcPr>
            <w:tcW w:w="1288" w:type="dxa"/>
          </w:tcPr>
          <w:p w:rsidR="007267E2" w:rsidRDefault="007267E2" w:rsidP="007267E2">
            <w:pPr>
              <w:pStyle w:val="HTMLPreformatted"/>
              <w:jc w:val="center"/>
              <w:rPr>
                <w:rFonts w:ascii="inherit" w:hAnsi="inherit"/>
                <w:color w:val="212121"/>
              </w:rPr>
            </w:pPr>
            <w:r>
              <w:rPr>
                <w:rFonts w:ascii="inherit" w:hAnsi="inherit"/>
                <w:color w:val="212121"/>
              </w:rPr>
              <w:t>6</w:t>
            </w:r>
          </w:p>
        </w:tc>
        <w:tc>
          <w:tcPr>
            <w:tcW w:w="1288" w:type="dxa"/>
          </w:tcPr>
          <w:p w:rsidR="007267E2" w:rsidRDefault="007267E2" w:rsidP="007267E2">
            <w:pPr>
              <w:pStyle w:val="HTMLPreformatted"/>
              <w:jc w:val="center"/>
              <w:rPr>
                <w:rFonts w:ascii="inherit" w:hAnsi="inherit"/>
                <w:color w:val="212121"/>
              </w:rPr>
            </w:pPr>
            <w:r>
              <w:rPr>
                <w:rFonts w:ascii="inherit" w:hAnsi="inherit"/>
                <w:color w:val="212121"/>
              </w:rPr>
              <w:t>7</w:t>
            </w:r>
          </w:p>
        </w:tc>
      </w:tr>
    </w:tbl>
    <w:p w:rsidR="007267E2" w:rsidRDefault="007267E2" w:rsidP="007267E2">
      <w:pPr>
        <w:pStyle w:val="HTMLPreformatted"/>
        <w:shd w:val="clear" w:color="auto" w:fill="FFFFFF"/>
        <w:jc w:val="center"/>
        <w:rPr>
          <w:rFonts w:ascii="inherit" w:hAnsi="inherit"/>
          <w:color w:val="212121"/>
        </w:rPr>
      </w:pPr>
    </w:p>
    <w:p w:rsidR="007267E2" w:rsidRPr="007267E2" w:rsidRDefault="007267E2" w:rsidP="007267E2">
      <w:pPr>
        <w:pStyle w:val="HTMLPreformatted"/>
        <w:shd w:val="clear" w:color="auto" w:fill="FFFFFF"/>
        <w:rPr>
          <w:rFonts w:asciiTheme="minorHAnsi" w:hAnsiTheme="minorHAnsi"/>
          <w:color w:val="212121"/>
          <w:sz w:val="22"/>
        </w:rPr>
      </w:pP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This figure is indicative of the risk of the fund and is calculated based on simulated data, however, cannot be a reliable indication of the future risk profile of the fund. In addition, there is no guarantee that the indicated category it to remain unchanged and may change over time.</w:t>
      </w:r>
    </w:p>
    <w:p w:rsidR="00035F73" w:rsidRPr="00035F73" w:rsidRDefault="00035F73" w:rsidP="00035F73">
      <w:pPr>
        <w:pStyle w:val="HTMLPreformatted"/>
        <w:shd w:val="clear" w:color="auto" w:fill="FFFFFF"/>
        <w:rPr>
          <w:rFonts w:ascii="inherit" w:hAnsi="inherit"/>
          <w:color w:val="212121"/>
          <w:lang w:val="en"/>
        </w:rPr>
      </w:pPr>
      <w:r w:rsidRPr="00035F73">
        <w:rPr>
          <w:rFonts w:ascii="inherit" w:hAnsi="inherit"/>
          <w:b/>
          <w:color w:val="212121"/>
          <w:lang w:val="en"/>
        </w:rPr>
        <w:t>Why in this category?</w:t>
      </w:r>
      <w:r>
        <w:rPr>
          <w:rFonts w:ascii="inherit" w:hAnsi="inherit"/>
          <w:color w:val="212121"/>
          <w:lang w:val="en"/>
        </w:rPr>
        <w:t xml:space="preserve"> It has been calculated taking into account the objective of maximum volatility of 10 % per annum set in the background.</w:t>
      </w:r>
    </w:p>
    <w:p w:rsidR="007E7436" w:rsidRDefault="007E7436" w:rsidP="007267E2">
      <w:pPr>
        <w:pStyle w:val="HTMLPreformatted"/>
        <w:shd w:val="clear" w:color="auto" w:fill="FFFFFF"/>
        <w:rPr>
          <w:rFonts w:asciiTheme="minorHAnsi" w:hAnsiTheme="minorHAnsi"/>
          <w:color w:val="212121"/>
          <w:sz w:val="22"/>
          <w:lang w:val="en"/>
        </w:rPr>
      </w:pPr>
    </w:p>
    <w:p w:rsidR="00035F73" w:rsidRPr="00035F73" w:rsidRDefault="00035F73" w:rsidP="00035F73">
      <w:pPr>
        <w:pStyle w:val="HTMLPreformatted"/>
        <w:shd w:val="clear" w:color="auto" w:fill="FFFFFF"/>
        <w:rPr>
          <w:rFonts w:ascii="inherit" w:hAnsi="inherit"/>
          <w:b/>
          <w:color w:val="212121"/>
        </w:rPr>
      </w:pPr>
      <w:r w:rsidRPr="00035F73">
        <w:rPr>
          <w:rFonts w:ascii="inherit" w:hAnsi="inherit"/>
          <w:b/>
          <w:color w:val="212121"/>
          <w:shd w:val="clear" w:color="auto" w:fill="D0CECE" w:themeFill="background2" w:themeFillShade="E6"/>
          <w:lang w:val="en"/>
        </w:rPr>
        <w:t>Expenses</w:t>
      </w:r>
    </w:p>
    <w:p w:rsidR="007E7436" w:rsidRPr="007E7436" w:rsidRDefault="007E7436" w:rsidP="007267E2">
      <w:pPr>
        <w:pStyle w:val="HTMLPreformatted"/>
        <w:shd w:val="clear" w:color="auto" w:fill="FFFFFF"/>
        <w:rPr>
          <w:rFonts w:asciiTheme="minorHAnsi" w:hAnsiTheme="minorHAnsi"/>
          <w:b/>
          <w:color w:val="212121"/>
          <w:sz w:val="28"/>
          <w:szCs w:val="28"/>
          <w:lang w:val="en"/>
        </w:rPr>
      </w:pPr>
    </w:p>
    <w:p w:rsidR="00035F73" w:rsidRDefault="00035F73" w:rsidP="00035F73">
      <w:pPr>
        <w:pStyle w:val="HTMLPreformatted"/>
        <w:shd w:val="clear" w:color="auto" w:fill="FFFFFF"/>
        <w:rPr>
          <w:rFonts w:ascii="inherit" w:hAnsi="inherit"/>
          <w:color w:val="212121"/>
          <w:lang w:val="en"/>
        </w:rPr>
      </w:pPr>
      <w:r>
        <w:rPr>
          <w:rFonts w:ascii="inherit" w:hAnsi="inherit"/>
          <w:color w:val="212121"/>
          <w:lang w:val="en"/>
        </w:rPr>
        <w:t>These fees are used to pay the costs of running the fund, including marketing and distribution.</w:t>
      </w:r>
    </w:p>
    <w:p w:rsidR="00035F73" w:rsidRDefault="00035F73" w:rsidP="00035F73">
      <w:pPr>
        <w:pStyle w:val="HTMLPreformatted"/>
        <w:shd w:val="clear" w:color="auto" w:fill="FFFFFF"/>
        <w:rPr>
          <w:rFonts w:ascii="inherit" w:hAnsi="inherit"/>
          <w:color w:val="212121"/>
        </w:rPr>
      </w:pPr>
      <w:r>
        <w:rPr>
          <w:rFonts w:ascii="inherit" w:hAnsi="inherit"/>
          <w:color w:val="212121"/>
          <w:lang w:val="en"/>
        </w:rPr>
        <w:t>These charges reduce the potential investment growth.</w:t>
      </w:r>
    </w:p>
    <w:p w:rsidR="007E7436" w:rsidRDefault="007E7436" w:rsidP="007E7436">
      <w:pPr>
        <w:rPr>
          <w:b/>
          <w:sz w:val="28"/>
          <w:szCs w:val="28"/>
        </w:rPr>
      </w:pPr>
    </w:p>
    <w:tbl>
      <w:tblPr>
        <w:tblStyle w:val="TableGrid"/>
        <w:tblW w:w="0" w:type="auto"/>
        <w:tblLook w:val="04A0" w:firstRow="1" w:lastRow="0" w:firstColumn="1" w:lastColumn="0" w:noHBand="0" w:noVBand="1"/>
      </w:tblPr>
      <w:tblGrid>
        <w:gridCol w:w="1997"/>
        <w:gridCol w:w="7019"/>
      </w:tblGrid>
      <w:tr w:rsidR="007E7436" w:rsidTr="001A4FE2">
        <w:tc>
          <w:tcPr>
            <w:tcW w:w="9016" w:type="dxa"/>
            <w:gridSpan w:val="2"/>
          </w:tcPr>
          <w:p w:rsidR="007E7436" w:rsidRPr="00E26FA9" w:rsidRDefault="00035F73" w:rsidP="007E7436">
            <w:pPr>
              <w:pStyle w:val="HTMLPreformatted"/>
              <w:shd w:val="clear" w:color="auto" w:fill="FFFFFF"/>
              <w:rPr>
                <w:rFonts w:ascii="inherit" w:hAnsi="inherit"/>
                <w:b/>
                <w:color w:val="212121"/>
              </w:rPr>
            </w:pPr>
            <w:r w:rsidRPr="00E26FA9">
              <w:rPr>
                <w:rFonts w:ascii="inherit" w:hAnsi="inherit"/>
                <w:b/>
                <w:color w:val="212121"/>
                <w:lang w:val="en"/>
              </w:rPr>
              <w:t>Charges taken from the fund over a year</w:t>
            </w:r>
          </w:p>
        </w:tc>
      </w:tr>
      <w:tr w:rsidR="007E7436" w:rsidTr="007E7436">
        <w:tc>
          <w:tcPr>
            <w:tcW w:w="4508" w:type="dxa"/>
          </w:tcPr>
          <w:p w:rsidR="007E7436" w:rsidRPr="00E26FA9" w:rsidRDefault="00E26FA9" w:rsidP="007E7436">
            <w:pPr>
              <w:pStyle w:val="HTMLPreformatted"/>
              <w:shd w:val="clear" w:color="auto" w:fill="FFFFFF"/>
              <w:rPr>
                <w:rFonts w:ascii="inherit" w:hAnsi="inherit"/>
                <w:color w:val="212121"/>
              </w:rPr>
            </w:pPr>
            <w:r>
              <w:rPr>
                <w:rFonts w:ascii="inherit" w:hAnsi="inherit"/>
                <w:color w:val="212121"/>
                <w:lang w:val="en"/>
              </w:rPr>
              <w:t>Current expenses</w:t>
            </w:r>
          </w:p>
        </w:tc>
        <w:tc>
          <w:tcPr>
            <w:tcW w:w="4508" w:type="dxa"/>
          </w:tcPr>
          <w:p w:rsidR="007E7436" w:rsidRDefault="007E7436" w:rsidP="007E7436">
            <w:pPr>
              <w:rPr>
                <w:b/>
                <w:sz w:val="28"/>
                <w:szCs w:val="28"/>
              </w:rPr>
            </w:pPr>
            <w:r w:rsidRPr="00E03049">
              <w:rPr>
                <w:rFonts w:ascii="Calibri" w:hAnsi="Calibri" w:cs="Calibri"/>
                <w:color w:val="0000FF"/>
                <w:sz w:val="16"/>
                <w:szCs w:val="16"/>
              </w:rPr>
              <w:t>http://www.cnmv.es/Portal/Consultas/IIC/RentHistGastosIIC.aspx?Tipo=FI&amp;Numero=4789&amp;NC=0&amp;NP=0</w:t>
            </w:r>
          </w:p>
        </w:tc>
      </w:tr>
      <w:tr w:rsidR="007E7436" w:rsidTr="00C069E7">
        <w:tc>
          <w:tcPr>
            <w:tcW w:w="9016" w:type="dxa"/>
            <w:gridSpan w:val="2"/>
          </w:tcPr>
          <w:p w:rsidR="007E7436" w:rsidRPr="00E26FA9" w:rsidRDefault="00E03049" w:rsidP="00E03049">
            <w:pPr>
              <w:pStyle w:val="HTMLPreformatted"/>
              <w:shd w:val="clear" w:color="auto" w:fill="FFFFFF"/>
              <w:rPr>
                <w:rFonts w:ascii="inherit" w:hAnsi="inherit"/>
                <w:b/>
                <w:color w:val="212121"/>
              </w:rPr>
            </w:pPr>
            <w:r w:rsidRPr="00E26FA9">
              <w:rPr>
                <w:rFonts w:ascii="inherit" w:hAnsi="inherit"/>
                <w:b/>
                <w:color w:val="212121"/>
                <w:lang w:val="en"/>
              </w:rPr>
              <w:t>Charges taken from the fund under certain specific conditions</w:t>
            </w:r>
          </w:p>
        </w:tc>
      </w:tr>
      <w:tr w:rsidR="007E7436" w:rsidTr="007E7436">
        <w:tc>
          <w:tcPr>
            <w:tcW w:w="4508" w:type="dxa"/>
          </w:tcPr>
          <w:p w:rsidR="007E7436" w:rsidRPr="00E26FA9" w:rsidRDefault="00E03049" w:rsidP="00E03049">
            <w:pPr>
              <w:pStyle w:val="HTMLPreformatted"/>
              <w:shd w:val="clear" w:color="auto" w:fill="FFFFFF"/>
              <w:rPr>
                <w:rFonts w:ascii="inherit" w:hAnsi="inherit"/>
                <w:color w:val="212121"/>
              </w:rPr>
            </w:pPr>
            <w:r w:rsidRPr="00E26FA9">
              <w:rPr>
                <w:rFonts w:ascii="inherit" w:hAnsi="inherit"/>
                <w:color w:val="212121"/>
                <w:lang w:val="en"/>
              </w:rPr>
              <w:t>Performance Fee</w:t>
            </w:r>
          </w:p>
        </w:tc>
        <w:tc>
          <w:tcPr>
            <w:tcW w:w="4508" w:type="dxa"/>
          </w:tcPr>
          <w:p w:rsidR="007E7436" w:rsidRPr="00E26FA9" w:rsidRDefault="00E03049" w:rsidP="00E03049">
            <w:pPr>
              <w:pStyle w:val="HTMLPreformatted"/>
              <w:shd w:val="clear" w:color="auto" w:fill="FFFFFF"/>
              <w:jc w:val="center"/>
              <w:rPr>
                <w:rFonts w:ascii="inherit" w:hAnsi="inherit"/>
                <w:color w:val="212121"/>
              </w:rPr>
            </w:pPr>
            <w:r w:rsidRPr="00E26FA9">
              <w:rPr>
                <w:rFonts w:ascii="inherit" w:hAnsi="inherit"/>
                <w:color w:val="212121"/>
                <w:lang w:val="en"/>
              </w:rPr>
              <w:t>9% on results</w:t>
            </w:r>
          </w:p>
        </w:tc>
      </w:tr>
    </w:tbl>
    <w:p w:rsidR="007E7436" w:rsidRDefault="007E7436" w:rsidP="007E7436">
      <w:pPr>
        <w:rPr>
          <w:b/>
          <w:sz w:val="28"/>
          <w:szCs w:val="28"/>
        </w:rPr>
      </w:pPr>
    </w:p>
    <w:p w:rsidR="00E26FA9" w:rsidRDefault="00E26FA9" w:rsidP="00E26FA9">
      <w:pPr>
        <w:pStyle w:val="HTMLPreformatted"/>
        <w:shd w:val="clear" w:color="auto" w:fill="FFFFFF"/>
        <w:rPr>
          <w:rFonts w:ascii="inherit" w:hAnsi="inherit"/>
          <w:color w:val="212121"/>
          <w:lang w:val="en"/>
        </w:rPr>
      </w:pPr>
      <w:r>
        <w:rPr>
          <w:rFonts w:ascii="inherit" w:hAnsi="inherit"/>
          <w:color w:val="212121"/>
          <w:lang w:val="en"/>
        </w:rPr>
        <w:t>Detailed information can be found in the brochure available on the website of the Management and the CNMV.</w:t>
      </w:r>
    </w:p>
    <w:p w:rsidR="00E26FA9" w:rsidRDefault="00E26FA9" w:rsidP="00E26FA9">
      <w:pPr>
        <w:pStyle w:val="HTMLPreformatted"/>
        <w:shd w:val="clear" w:color="auto" w:fill="FFFFFF"/>
        <w:rPr>
          <w:rFonts w:ascii="inherit" w:hAnsi="inherit"/>
          <w:color w:val="212121"/>
        </w:rPr>
      </w:pPr>
      <w:r>
        <w:rPr>
          <w:rFonts w:ascii="inherit" w:hAnsi="inherit"/>
          <w:color w:val="212121"/>
          <w:lang w:val="en"/>
        </w:rPr>
        <w:t>Commission prior year results:</w:t>
      </w:r>
    </w:p>
    <w:p w:rsidR="00E03049" w:rsidRDefault="00E26FA9" w:rsidP="00E26FA9">
      <w:pPr>
        <w:pStyle w:val="HTMLPreformatted"/>
        <w:shd w:val="clear" w:color="auto" w:fill="FFFFFF"/>
        <w:rPr>
          <w:rFonts w:ascii="Calibri" w:hAnsi="Calibri" w:cs="Calibri"/>
          <w:color w:val="0000FF"/>
          <w:szCs w:val="16"/>
        </w:rPr>
      </w:pPr>
      <w:r>
        <w:rPr>
          <w:rFonts w:ascii="Calibri" w:hAnsi="Calibri" w:cs="Calibri"/>
          <w:color w:val="0000FF"/>
          <w:szCs w:val="16"/>
        </w:rPr>
        <w:t xml:space="preserve"> </w:t>
      </w:r>
      <w:hyperlink r:id="rId4" w:history="1">
        <w:r w:rsidR="00E03049" w:rsidRPr="00D271FC">
          <w:rPr>
            <w:rStyle w:val="Hyperlink"/>
            <w:rFonts w:ascii="Calibri" w:hAnsi="Calibri" w:cs="Calibri"/>
            <w:szCs w:val="16"/>
          </w:rPr>
          <w:t>http://www.cnmv.es/Portal/Consultas/IIC/RentHistGastosIIC.aspx?Tipo=FI&amp;Numero=4789&amp;NC=0&amp;NP=0</w:t>
        </w:r>
      </w:hyperlink>
    </w:p>
    <w:p w:rsidR="00E03049" w:rsidRDefault="00E03049" w:rsidP="00E03049">
      <w:pPr>
        <w:pStyle w:val="HTMLPreformatted"/>
        <w:shd w:val="clear" w:color="auto" w:fill="FFFFFF"/>
        <w:rPr>
          <w:rFonts w:ascii="Calibri" w:hAnsi="Calibri" w:cs="Calibri"/>
          <w:color w:val="0000FF"/>
          <w:szCs w:val="16"/>
        </w:rPr>
      </w:pPr>
    </w:p>
    <w:p w:rsidR="00E03049" w:rsidRDefault="00E03049" w:rsidP="00E03049">
      <w:pPr>
        <w:pStyle w:val="HTMLPreformatted"/>
        <w:shd w:val="clear" w:color="auto" w:fill="FFFFFF"/>
        <w:rPr>
          <w:rFonts w:asciiTheme="minorHAnsi" w:hAnsiTheme="minorHAnsi"/>
          <w:b/>
          <w:color w:val="212121"/>
          <w:sz w:val="28"/>
          <w:lang w:val="en"/>
        </w:rPr>
      </w:pPr>
    </w:p>
    <w:p w:rsidR="00201BCB" w:rsidRPr="00201BCB" w:rsidRDefault="00201BCB" w:rsidP="00201BCB">
      <w:pPr>
        <w:pStyle w:val="HTMLPreformatted"/>
        <w:shd w:val="clear" w:color="auto" w:fill="AEAAAA" w:themeFill="background2" w:themeFillShade="BF"/>
        <w:rPr>
          <w:rFonts w:ascii="inherit" w:hAnsi="inherit"/>
          <w:b/>
          <w:color w:val="212121"/>
        </w:rPr>
      </w:pPr>
      <w:r w:rsidRPr="00201BCB">
        <w:rPr>
          <w:rFonts w:ascii="inherit" w:hAnsi="inherit"/>
          <w:b/>
          <w:color w:val="212121"/>
          <w:lang w:val="en"/>
        </w:rPr>
        <w:t>Past Performance</w:t>
      </w:r>
    </w:p>
    <w:bookmarkStart w:id="0" w:name="_GoBack"/>
    <w:bookmarkEnd w:id="0"/>
    <w:p w:rsidR="00E03049" w:rsidRDefault="009F1264" w:rsidP="007E7436">
      <w:pPr>
        <w:rPr>
          <w:rFonts w:ascii="Calibri" w:hAnsi="Calibri" w:cs="Calibri"/>
          <w:color w:val="0000FF"/>
        </w:rPr>
      </w:pPr>
      <w:r>
        <w:fldChar w:fldCharType="begin"/>
      </w:r>
      <w:r>
        <w:instrText xml:space="preserve"> HYPERLINK "http://www.cnmv.es/Portal/Consultas/IIC/RentHistGastosIIC.aspx?Tipo=FI&amp;Numero=4789&amp;NC=0&amp;NP=0" </w:instrText>
      </w:r>
      <w:r>
        <w:fldChar w:fldCharType="separate"/>
      </w:r>
      <w:r w:rsidR="00201BCB" w:rsidRPr="00D271FC">
        <w:rPr>
          <w:rStyle w:val="Hyperlink"/>
          <w:rFonts w:ascii="Calibri" w:hAnsi="Calibri" w:cs="Calibri"/>
        </w:rPr>
        <w:t>http://www.cnmv.es/Portal/Consultas/IIC/RentHistGastosIIC.aspx?Tipo=FI&amp;Numero=4789&amp;NC=0&amp;NP=0</w:t>
      </w:r>
      <w:r>
        <w:rPr>
          <w:rStyle w:val="Hyperlink"/>
          <w:rFonts w:ascii="Calibri" w:hAnsi="Calibri" w:cs="Calibri"/>
        </w:rPr>
        <w:fldChar w:fldCharType="end"/>
      </w:r>
    </w:p>
    <w:p w:rsidR="00E03049" w:rsidRPr="00201BCB" w:rsidRDefault="00E03049" w:rsidP="00201BCB">
      <w:pPr>
        <w:pStyle w:val="HTMLPreformatted"/>
        <w:shd w:val="clear" w:color="auto" w:fill="AEAAAA" w:themeFill="background2" w:themeFillShade="BF"/>
        <w:rPr>
          <w:rFonts w:ascii="inherit" w:hAnsi="inherit"/>
          <w:b/>
          <w:color w:val="212121"/>
        </w:rPr>
      </w:pPr>
      <w:r w:rsidRPr="00201BCB">
        <w:rPr>
          <w:rFonts w:ascii="inherit" w:hAnsi="inherit"/>
          <w:b/>
          <w:color w:val="212121"/>
          <w:lang w:val="en"/>
        </w:rPr>
        <w:t>Practical information</w:t>
      </w:r>
    </w:p>
    <w:p w:rsidR="00E03049" w:rsidRDefault="00E03049" w:rsidP="00E03049">
      <w:pPr>
        <w:pStyle w:val="HTMLPreformatted"/>
        <w:shd w:val="clear" w:color="auto" w:fill="FFFFFF"/>
        <w:rPr>
          <w:rFonts w:asciiTheme="minorHAnsi" w:hAnsiTheme="minorHAnsi"/>
          <w:b/>
          <w:color w:val="212121"/>
          <w:sz w:val="28"/>
          <w:lang w:val="en"/>
        </w:rPr>
      </w:pPr>
    </w:p>
    <w:p w:rsidR="00201BCB" w:rsidRDefault="00201BCB" w:rsidP="00201BCB">
      <w:pPr>
        <w:pStyle w:val="HTMLPreformatted"/>
        <w:shd w:val="clear" w:color="auto" w:fill="FFFFFF"/>
        <w:rPr>
          <w:rFonts w:ascii="inherit" w:hAnsi="inherit"/>
          <w:color w:val="212121"/>
          <w:lang w:val="en"/>
        </w:rPr>
      </w:pPr>
      <w:r w:rsidRPr="00201BCB">
        <w:rPr>
          <w:rFonts w:ascii="inherit" w:hAnsi="inherit"/>
          <w:b/>
          <w:color w:val="212121"/>
          <w:lang w:val="en"/>
        </w:rPr>
        <w:t>The depositary of the Fund</w:t>
      </w:r>
      <w:r>
        <w:rPr>
          <w:rFonts w:ascii="inherit" w:hAnsi="inherit"/>
          <w:color w:val="212121"/>
          <w:lang w:val="en"/>
        </w:rPr>
        <w:t xml:space="preserve"> is NOVO BANCO, S.A., BRANCH IN SPAIN. (Group: NOVO BANK)</w:t>
      </w:r>
    </w:p>
    <w:p w:rsidR="00201BCB" w:rsidRDefault="00201BCB" w:rsidP="00201BCB">
      <w:pPr>
        <w:pStyle w:val="HTMLPreformatted"/>
        <w:shd w:val="clear" w:color="auto" w:fill="FFFFFF"/>
        <w:rPr>
          <w:rFonts w:ascii="inherit" w:hAnsi="inherit"/>
          <w:color w:val="212121"/>
          <w:lang w:val="en"/>
        </w:rPr>
      </w:pPr>
      <w:r w:rsidRPr="00201BCB">
        <w:rPr>
          <w:rFonts w:ascii="inherit" w:hAnsi="inherit"/>
          <w:b/>
          <w:color w:val="212121"/>
          <w:lang w:val="en"/>
        </w:rPr>
        <w:t>Taxation:</w:t>
      </w:r>
      <w:r>
        <w:rPr>
          <w:rFonts w:ascii="inherit" w:hAnsi="inherit"/>
          <w:color w:val="212121"/>
          <w:lang w:val="en"/>
        </w:rPr>
        <w:t xml:space="preserve"> Taxation of income derived by participants will depend on the tax law applicable to their personal situation. Yields on investment funds are taxed at 1% income tax.</w:t>
      </w:r>
    </w:p>
    <w:p w:rsidR="00201BCB" w:rsidRDefault="00201BCB" w:rsidP="00201BCB">
      <w:pPr>
        <w:pStyle w:val="HTMLPreformatted"/>
        <w:shd w:val="clear" w:color="auto" w:fill="FFFFFF"/>
        <w:rPr>
          <w:rFonts w:ascii="inherit" w:hAnsi="inherit"/>
          <w:color w:val="212121"/>
          <w:lang w:val="en"/>
        </w:rPr>
      </w:pPr>
      <w:r w:rsidRPr="00201BCB">
        <w:rPr>
          <w:rFonts w:ascii="inherit" w:hAnsi="inherit"/>
          <w:b/>
          <w:color w:val="212121"/>
          <w:lang w:val="en"/>
        </w:rPr>
        <w:t>Note:</w:t>
      </w:r>
      <w:r>
        <w:rPr>
          <w:rFonts w:ascii="inherit" w:hAnsi="inherit"/>
          <w:color w:val="212121"/>
          <w:lang w:val="en"/>
        </w:rPr>
        <w:t xml:space="preserve"> This document must be submitted prior to signing with the last semi-annual report published. These documents, brochure, containing the Management Regulations and the latest quarterly and annual reports,</w:t>
      </w:r>
    </w:p>
    <w:p w:rsidR="00201BCB" w:rsidRDefault="00201BCB" w:rsidP="00201BCB">
      <w:pPr>
        <w:pStyle w:val="HTMLPreformatted"/>
        <w:shd w:val="clear" w:color="auto" w:fill="FFFFFF"/>
        <w:rPr>
          <w:rFonts w:ascii="inherit" w:hAnsi="inherit"/>
          <w:color w:val="212121"/>
          <w:lang w:val="en"/>
        </w:rPr>
      </w:pPr>
      <w:r>
        <w:rPr>
          <w:rFonts w:ascii="inherit" w:hAnsi="inherit"/>
          <w:color w:val="212121"/>
          <w:lang w:val="en"/>
        </w:rPr>
        <w:t>They are available free and be consulted by electronic means at the Management Company or entities trading and records of the CNMV (available in Castilian). The net asset value of the fund can be</w:t>
      </w:r>
    </w:p>
    <w:p w:rsidR="00201BCB" w:rsidRDefault="00201BCB" w:rsidP="00201BCB">
      <w:pPr>
        <w:pStyle w:val="HTMLPreformatted"/>
        <w:shd w:val="clear" w:color="auto" w:fill="FFFFFF"/>
        <w:rPr>
          <w:rFonts w:ascii="inherit" w:hAnsi="inherit"/>
          <w:color w:val="212121"/>
          <w:lang w:val="en"/>
        </w:rPr>
      </w:pPr>
      <w:r>
        <w:rPr>
          <w:rFonts w:ascii="inherit" w:hAnsi="inherit"/>
          <w:color w:val="212121"/>
          <w:lang w:val="en"/>
        </w:rPr>
        <w:lastRenderedPageBreak/>
        <w:t>Bulletin consult quote the Madrid Stock Exchange and on the website of the Management Company.</w:t>
      </w:r>
    </w:p>
    <w:p w:rsidR="00201BCB" w:rsidRDefault="00201BCB" w:rsidP="00201BCB">
      <w:pPr>
        <w:pStyle w:val="HTMLPreformatted"/>
        <w:shd w:val="clear" w:color="auto" w:fill="FFFFFF"/>
        <w:rPr>
          <w:rFonts w:ascii="inherit" w:hAnsi="inherit"/>
          <w:color w:val="212121"/>
          <w:lang w:val="en"/>
        </w:rPr>
      </w:pPr>
      <w:r>
        <w:rPr>
          <w:rFonts w:ascii="inherit" w:hAnsi="inherit"/>
          <w:color w:val="212121"/>
          <w:lang w:val="en"/>
        </w:rPr>
        <w:t>The manager and the trustee only incur liability for the statements contained in this document that is misleading, inaccurate or inconsistent with the relevant parts of the fund prospectus.</w:t>
      </w:r>
    </w:p>
    <w:p w:rsidR="00201BCB" w:rsidRDefault="00201BCB" w:rsidP="00201BCB">
      <w:pPr>
        <w:pStyle w:val="HTMLPreformatted"/>
        <w:shd w:val="clear" w:color="auto" w:fill="FFFFFF"/>
        <w:rPr>
          <w:rFonts w:ascii="inherit" w:hAnsi="inherit"/>
          <w:color w:val="212121"/>
          <w:lang w:val="en"/>
        </w:rPr>
      </w:pPr>
    </w:p>
    <w:p w:rsidR="00201BCB" w:rsidRDefault="00201BCB" w:rsidP="00E03049">
      <w:pPr>
        <w:pStyle w:val="HTMLPreformatted"/>
        <w:shd w:val="clear" w:color="auto" w:fill="FFFFFF"/>
        <w:rPr>
          <w:rFonts w:asciiTheme="minorHAnsi" w:hAnsiTheme="minorHAnsi"/>
          <w:b/>
          <w:color w:val="212121"/>
          <w:sz w:val="28"/>
          <w:lang w:val="en"/>
        </w:rPr>
      </w:pPr>
    </w:p>
    <w:p w:rsidR="00E26FA9" w:rsidRDefault="00E26FA9" w:rsidP="00E26FA9">
      <w:pPr>
        <w:pStyle w:val="HTMLPreformatted"/>
        <w:shd w:val="clear" w:color="auto" w:fill="D0CECE" w:themeFill="background2" w:themeFillShade="E6"/>
        <w:rPr>
          <w:rFonts w:ascii="inherit" w:hAnsi="inherit"/>
          <w:color w:val="212121"/>
        </w:rPr>
      </w:pPr>
      <w:r>
        <w:rPr>
          <w:rFonts w:ascii="inherit" w:hAnsi="inherit"/>
          <w:color w:val="212121"/>
          <w:lang w:val="en"/>
        </w:rPr>
        <w:t>This fund is authorized in Spain on 07.31.2014 and is regulated by the CNMV</w:t>
      </w:r>
    </w:p>
    <w:p w:rsidR="00E03049" w:rsidRPr="00E03049" w:rsidRDefault="00E03049" w:rsidP="00E03049">
      <w:pPr>
        <w:pStyle w:val="HTMLPreformatted"/>
        <w:shd w:val="clear" w:color="auto" w:fill="FFFFFF"/>
        <w:rPr>
          <w:rFonts w:asciiTheme="minorHAnsi" w:hAnsiTheme="minorHAnsi"/>
          <w:b/>
          <w:color w:val="212121"/>
          <w:sz w:val="28"/>
        </w:rPr>
      </w:pPr>
    </w:p>
    <w:p w:rsidR="00E03049" w:rsidRDefault="00E03049" w:rsidP="007E7436">
      <w:pPr>
        <w:rPr>
          <w:b/>
          <w:sz w:val="28"/>
          <w:szCs w:val="28"/>
        </w:rPr>
      </w:pPr>
    </w:p>
    <w:p w:rsidR="00E03049" w:rsidRPr="007267E2" w:rsidRDefault="00E03049" w:rsidP="007E7436">
      <w:pPr>
        <w:rPr>
          <w:b/>
          <w:sz w:val="28"/>
          <w:szCs w:val="28"/>
        </w:rPr>
      </w:pPr>
    </w:p>
    <w:sectPr w:rsidR="00E03049" w:rsidRPr="00726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 Negrit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43"/>
    <w:rsid w:val="00035F73"/>
    <w:rsid w:val="000928B7"/>
    <w:rsid w:val="00201BCB"/>
    <w:rsid w:val="00240D43"/>
    <w:rsid w:val="007267E2"/>
    <w:rsid w:val="007E7436"/>
    <w:rsid w:val="009F1264"/>
    <w:rsid w:val="00E03049"/>
    <w:rsid w:val="00E26FA9"/>
    <w:rsid w:val="00E3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0898-C0A8-4223-A9EA-72F79CFE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4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40D43"/>
    <w:rPr>
      <w:rFonts w:ascii="Courier New" w:eastAsia="Times New Roman" w:hAnsi="Courier New" w:cs="Courier New"/>
      <w:sz w:val="20"/>
      <w:szCs w:val="20"/>
      <w:lang w:eastAsia="en-GB"/>
    </w:rPr>
  </w:style>
  <w:style w:type="table" w:styleId="TableGrid">
    <w:name w:val="Table Grid"/>
    <w:basedOn w:val="TableNormal"/>
    <w:uiPriority w:val="39"/>
    <w:rsid w:val="0072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265">
      <w:bodyDiv w:val="1"/>
      <w:marLeft w:val="0"/>
      <w:marRight w:val="0"/>
      <w:marTop w:val="0"/>
      <w:marBottom w:val="0"/>
      <w:divBdr>
        <w:top w:val="none" w:sz="0" w:space="0" w:color="auto"/>
        <w:left w:val="none" w:sz="0" w:space="0" w:color="auto"/>
        <w:bottom w:val="none" w:sz="0" w:space="0" w:color="auto"/>
        <w:right w:val="none" w:sz="0" w:space="0" w:color="auto"/>
      </w:divBdr>
    </w:div>
    <w:div w:id="71510299">
      <w:bodyDiv w:val="1"/>
      <w:marLeft w:val="0"/>
      <w:marRight w:val="0"/>
      <w:marTop w:val="0"/>
      <w:marBottom w:val="0"/>
      <w:divBdr>
        <w:top w:val="none" w:sz="0" w:space="0" w:color="auto"/>
        <w:left w:val="none" w:sz="0" w:space="0" w:color="auto"/>
        <w:bottom w:val="none" w:sz="0" w:space="0" w:color="auto"/>
        <w:right w:val="none" w:sz="0" w:space="0" w:color="auto"/>
      </w:divBdr>
    </w:div>
    <w:div w:id="108669763">
      <w:bodyDiv w:val="1"/>
      <w:marLeft w:val="0"/>
      <w:marRight w:val="0"/>
      <w:marTop w:val="0"/>
      <w:marBottom w:val="0"/>
      <w:divBdr>
        <w:top w:val="none" w:sz="0" w:space="0" w:color="auto"/>
        <w:left w:val="none" w:sz="0" w:space="0" w:color="auto"/>
        <w:bottom w:val="none" w:sz="0" w:space="0" w:color="auto"/>
        <w:right w:val="none" w:sz="0" w:space="0" w:color="auto"/>
      </w:divBdr>
    </w:div>
    <w:div w:id="121848394">
      <w:bodyDiv w:val="1"/>
      <w:marLeft w:val="0"/>
      <w:marRight w:val="0"/>
      <w:marTop w:val="0"/>
      <w:marBottom w:val="0"/>
      <w:divBdr>
        <w:top w:val="none" w:sz="0" w:space="0" w:color="auto"/>
        <w:left w:val="none" w:sz="0" w:space="0" w:color="auto"/>
        <w:bottom w:val="none" w:sz="0" w:space="0" w:color="auto"/>
        <w:right w:val="none" w:sz="0" w:space="0" w:color="auto"/>
      </w:divBdr>
    </w:div>
    <w:div w:id="170223875">
      <w:bodyDiv w:val="1"/>
      <w:marLeft w:val="0"/>
      <w:marRight w:val="0"/>
      <w:marTop w:val="0"/>
      <w:marBottom w:val="0"/>
      <w:divBdr>
        <w:top w:val="none" w:sz="0" w:space="0" w:color="auto"/>
        <w:left w:val="none" w:sz="0" w:space="0" w:color="auto"/>
        <w:bottom w:val="none" w:sz="0" w:space="0" w:color="auto"/>
        <w:right w:val="none" w:sz="0" w:space="0" w:color="auto"/>
      </w:divBdr>
    </w:div>
    <w:div w:id="205610166">
      <w:bodyDiv w:val="1"/>
      <w:marLeft w:val="0"/>
      <w:marRight w:val="0"/>
      <w:marTop w:val="0"/>
      <w:marBottom w:val="0"/>
      <w:divBdr>
        <w:top w:val="none" w:sz="0" w:space="0" w:color="auto"/>
        <w:left w:val="none" w:sz="0" w:space="0" w:color="auto"/>
        <w:bottom w:val="none" w:sz="0" w:space="0" w:color="auto"/>
        <w:right w:val="none" w:sz="0" w:space="0" w:color="auto"/>
      </w:divBdr>
    </w:div>
    <w:div w:id="270823140">
      <w:bodyDiv w:val="1"/>
      <w:marLeft w:val="0"/>
      <w:marRight w:val="0"/>
      <w:marTop w:val="0"/>
      <w:marBottom w:val="0"/>
      <w:divBdr>
        <w:top w:val="none" w:sz="0" w:space="0" w:color="auto"/>
        <w:left w:val="none" w:sz="0" w:space="0" w:color="auto"/>
        <w:bottom w:val="none" w:sz="0" w:space="0" w:color="auto"/>
        <w:right w:val="none" w:sz="0" w:space="0" w:color="auto"/>
      </w:divBdr>
    </w:div>
    <w:div w:id="314837806">
      <w:bodyDiv w:val="1"/>
      <w:marLeft w:val="0"/>
      <w:marRight w:val="0"/>
      <w:marTop w:val="0"/>
      <w:marBottom w:val="0"/>
      <w:divBdr>
        <w:top w:val="none" w:sz="0" w:space="0" w:color="auto"/>
        <w:left w:val="none" w:sz="0" w:space="0" w:color="auto"/>
        <w:bottom w:val="none" w:sz="0" w:space="0" w:color="auto"/>
        <w:right w:val="none" w:sz="0" w:space="0" w:color="auto"/>
      </w:divBdr>
    </w:div>
    <w:div w:id="457145555">
      <w:bodyDiv w:val="1"/>
      <w:marLeft w:val="0"/>
      <w:marRight w:val="0"/>
      <w:marTop w:val="0"/>
      <w:marBottom w:val="0"/>
      <w:divBdr>
        <w:top w:val="none" w:sz="0" w:space="0" w:color="auto"/>
        <w:left w:val="none" w:sz="0" w:space="0" w:color="auto"/>
        <w:bottom w:val="none" w:sz="0" w:space="0" w:color="auto"/>
        <w:right w:val="none" w:sz="0" w:space="0" w:color="auto"/>
      </w:divBdr>
    </w:div>
    <w:div w:id="761992593">
      <w:bodyDiv w:val="1"/>
      <w:marLeft w:val="0"/>
      <w:marRight w:val="0"/>
      <w:marTop w:val="0"/>
      <w:marBottom w:val="0"/>
      <w:divBdr>
        <w:top w:val="none" w:sz="0" w:space="0" w:color="auto"/>
        <w:left w:val="none" w:sz="0" w:space="0" w:color="auto"/>
        <w:bottom w:val="none" w:sz="0" w:space="0" w:color="auto"/>
        <w:right w:val="none" w:sz="0" w:space="0" w:color="auto"/>
      </w:divBdr>
    </w:div>
    <w:div w:id="779225883">
      <w:bodyDiv w:val="1"/>
      <w:marLeft w:val="0"/>
      <w:marRight w:val="0"/>
      <w:marTop w:val="0"/>
      <w:marBottom w:val="0"/>
      <w:divBdr>
        <w:top w:val="none" w:sz="0" w:space="0" w:color="auto"/>
        <w:left w:val="none" w:sz="0" w:space="0" w:color="auto"/>
        <w:bottom w:val="none" w:sz="0" w:space="0" w:color="auto"/>
        <w:right w:val="none" w:sz="0" w:space="0" w:color="auto"/>
      </w:divBdr>
    </w:div>
    <w:div w:id="890730735">
      <w:bodyDiv w:val="1"/>
      <w:marLeft w:val="0"/>
      <w:marRight w:val="0"/>
      <w:marTop w:val="0"/>
      <w:marBottom w:val="0"/>
      <w:divBdr>
        <w:top w:val="none" w:sz="0" w:space="0" w:color="auto"/>
        <w:left w:val="none" w:sz="0" w:space="0" w:color="auto"/>
        <w:bottom w:val="none" w:sz="0" w:space="0" w:color="auto"/>
        <w:right w:val="none" w:sz="0" w:space="0" w:color="auto"/>
      </w:divBdr>
    </w:div>
    <w:div w:id="948976758">
      <w:bodyDiv w:val="1"/>
      <w:marLeft w:val="0"/>
      <w:marRight w:val="0"/>
      <w:marTop w:val="0"/>
      <w:marBottom w:val="0"/>
      <w:divBdr>
        <w:top w:val="none" w:sz="0" w:space="0" w:color="auto"/>
        <w:left w:val="none" w:sz="0" w:space="0" w:color="auto"/>
        <w:bottom w:val="none" w:sz="0" w:space="0" w:color="auto"/>
        <w:right w:val="none" w:sz="0" w:space="0" w:color="auto"/>
      </w:divBdr>
    </w:div>
    <w:div w:id="986713299">
      <w:bodyDiv w:val="1"/>
      <w:marLeft w:val="0"/>
      <w:marRight w:val="0"/>
      <w:marTop w:val="0"/>
      <w:marBottom w:val="0"/>
      <w:divBdr>
        <w:top w:val="none" w:sz="0" w:space="0" w:color="auto"/>
        <w:left w:val="none" w:sz="0" w:space="0" w:color="auto"/>
        <w:bottom w:val="none" w:sz="0" w:space="0" w:color="auto"/>
        <w:right w:val="none" w:sz="0" w:space="0" w:color="auto"/>
      </w:divBdr>
    </w:div>
    <w:div w:id="1026950365">
      <w:bodyDiv w:val="1"/>
      <w:marLeft w:val="0"/>
      <w:marRight w:val="0"/>
      <w:marTop w:val="0"/>
      <w:marBottom w:val="0"/>
      <w:divBdr>
        <w:top w:val="none" w:sz="0" w:space="0" w:color="auto"/>
        <w:left w:val="none" w:sz="0" w:space="0" w:color="auto"/>
        <w:bottom w:val="none" w:sz="0" w:space="0" w:color="auto"/>
        <w:right w:val="none" w:sz="0" w:space="0" w:color="auto"/>
      </w:divBdr>
    </w:div>
    <w:div w:id="1095783356">
      <w:bodyDiv w:val="1"/>
      <w:marLeft w:val="0"/>
      <w:marRight w:val="0"/>
      <w:marTop w:val="0"/>
      <w:marBottom w:val="0"/>
      <w:divBdr>
        <w:top w:val="none" w:sz="0" w:space="0" w:color="auto"/>
        <w:left w:val="none" w:sz="0" w:space="0" w:color="auto"/>
        <w:bottom w:val="none" w:sz="0" w:space="0" w:color="auto"/>
        <w:right w:val="none" w:sz="0" w:space="0" w:color="auto"/>
      </w:divBdr>
    </w:div>
    <w:div w:id="1100488855">
      <w:bodyDiv w:val="1"/>
      <w:marLeft w:val="0"/>
      <w:marRight w:val="0"/>
      <w:marTop w:val="0"/>
      <w:marBottom w:val="0"/>
      <w:divBdr>
        <w:top w:val="none" w:sz="0" w:space="0" w:color="auto"/>
        <w:left w:val="none" w:sz="0" w:space="0" w:color="auto"/>
        <w:bottom w:val="none" w:sz="0" w:space="0" w:color="auto"/>
        <w:right w:val="none" w:sz="0" w:space="0" w:color="auto"/>
      </w:divBdr>
    </w:div>
    <w:div w:id="1112214444">
      <w:bodyDiv w:val="1"/>
      <w:marLeft w:val="0"/>
      <w:marRight w:val="0"/>
      <w:marTop w:val="0"/>
      <w:marBottom w:val="0"/>
      <w:divBdr>
        <w:top w:val="none" w:sz="0" w:space="0" w:color="auto"/>
        <w:left w:val="none" w:sz="0" w:space="0" w:color="auto"/>
        <w:bottom w:val="none" w:sz="0" w:space="0" w:color="auto"/>
        <w:right w:val="none" w:sz="0" w:space="0" w:color="auto"/>
      </w:divBdr>
    </w:div>
    <w:div w:id="1201555715">
      <w:bodyDiv w:val="1"/>
      <w:marLeft w:val="0"/>
      <w:marRight w:val="0"/>
      <w:marTop w:val="0"/>
      <w:marBottom w:val="0"/>
      <w:divBdr>
        <w:top w:val="none" w:sz="0" w:space="0" w:color="auto"/>
        <w:left w:val="none" w:sz="0" w:space="0" w:color="auto"/>
        <w:bottom w:val="none" w:sz="0" w:space="0" w:color="auto"/>
        <w:right w:val="none" w:sz="0" w:space="0" w:color="auto"/>
      </w:divBdr>
    </w:div>
    <w:div w:id="1265919059">
      <w:bodyDiv w:val="1"/>
      <w:marLeft w:val="0"/>
      <w:marRight w:val="0"/>
      <w:marTop w:val="0"/>
      <w:marBottom w:val="0"/>
      <w:divBdr>
        <w:top w:val="none" w:sz="0" w:space="0" w:color="auto"/>
        <w:left w:val="none" w:sz="0" w:space="0" w:color="auto"/>
        <w:bottom w:val="none" w:sz="0" w:space="0" w:color="auto"/>
        <w:right w:val="none" w:sz="0" w:space="0" w:color="auto"/>
      </w:divBdr>
    </w:div>
    <w:div w:id="1294553314">
      <w:bodyDiv w:val="1"/>
      <w:marLeft w:val="0"/>
      <w:marRight w:val="0"/>
      <w:marTop w:val="0"/>
      <w:marBottom w:val="0"/>
      <w:divBdr>
        <w:top w:val="none" w:sz="0" w:space="0" w:color="auto"/>
        <w:left w:val="none" w:sz="0" w:space="0" w:color="auto"/>
        <w:bottom w:val="none" w:sz="0" w:space="0" w:color="auto"/>
        <w:right w:val="none" w:sz="0" w:space="0" w:color="auto"/>
      </w:divBdr>
    </w:div>
    <w:div w:id="1338733780">
      <w:bodyDiv w:val="1"/>
      <w:marLeft w:val="0"/>
      <w:marRight w:val="0"/>
      <w:marTop w:val="0"/>
      <w:marBottom w:val="0"/>
      <w:divBdr>
        <w:top w:val="none" w:sz="0" w:space="0" w:color="auto"/>
        <w:left w:val="none" w:sz="0" w:space="0" w:color="auto"/>
        <w:bottom w:val="none" w:sz="0" w:space="0" w:color="auto"/>
        <w:right w:val="none" w:sz="0" w:space="0" w:color="auto"/>
      </w:divBdr>
    </w:div>
    <w:div w:id="1362897891">
      <w:bodyDiv w:val="1"/>
      <w:marLeft w:val="0"/>
      <w:marRight w:val="0"/>
      <w:marTop w:val="0"/>
      <w:marBottom w:val="0"/>
      <w:divBdr>
        <w:top w:val="none" w:sz="0" w:space="0" w:color="auto"/>
        <w:left w:val="none" w:sz="0" w:space="0" w:color="auto"/>
        <w:bottom w:val="none" w:sz="0" w:space="0" w:color="auto"/>
        <w:right w:val="none" w:sz="0" w:space="0" w:color="auto"/>
      </w:divBdr>
    </w:div>
    <w:div w:id="1370641541">
      <w:bodyDiv w:val="1"/>
      <w:marLeft w:val="0"/>
      <w:marRight w:val="0"/>
      <w:marTop w:val="0"/>
      <w:marBottom w:val="0"/>
      <w:divBdr>
        <w:top w:val="none" w:sz="0" w:space="0" w:color="auto"/>
        <w:left w:val="none" w:sz="0" w:space="0" w:color="auto"/>
        <w:bottom w:val="none" w:sz="0" w:space="0" w:color="auto"/>
        <w:right w:val="none" w:sz="0" w:space="0" w:color="auto"/>
      </w:divBdr>
    </w:div>
    <w:div w:id="1435248251">
      <w:bodyDiv w:val="1"/>
      <w:marLeft w:val="0"/>
      <w:marRight w:val="0"/>
      <w:marTop w:val="0"/>
      <w:marBottom w:val="0"/>
      <w:divBdr>
        <w:top w:val="none" w:sz="0" w:space="0" w:color="auto"/>
        <w:left w:val="none" w:sz="0" w:space="0" w:color="auto"/>
        <w:bottom w:val="none" w:sz="0" w:space="0" w:color="auto"/>
        <w:right w:val="none" w:sz="0" w:space="0" w:color="auto"/>
      </w:divBdr>
    </w:div>
    <w:div w:id="1494564324">
      <w:bodyDiv w:val="1"/>
      <w:marLeft w:val="0"/>
      <w:marRight w:val="0"/>
      <w:marTop w:val="0"/>
      <w:marBottom w:val="0"/>
      <w:divBdr>
        <w:top w:val="none" w:sz="0" w:space="0" w:color="auto"/>
        <w:left w:val="none" w:sz="0" w:space="0" w:color="auto"/>
        <w:bottom w:val="none" w:sz="0" w:space="0" w:color="auto"/>
        <w:right w:val="none" w:sz="0" w:space="0" w:color="auto"/>
      </w:divBdr>
    </w:div>
    <w:div w:id="1521043376">
      <w:bodyDiv w:val="1"/>
      <w:marLeft w:val="0"/>
      <w:marRight w:val="0"/>
      <w:marTop w:val="0"/>
      <w:marBottom w:val="0"/>
      <w:divBdr>
        <w:top w:val="none" w:sz="0" w:space="0" w:color="auto"/>
        <w:left w:val="none" w:sz="0" w:space="0" w:color="auto"/>
        <w:bottom w:val="none" w:sz="0" w:space="0" w:color="auto"/>
        <w:right w:val="none" w:sz="0" w:space="0" w:color="auto"/>
      </w:divBdr>
    </w:div>
    <w:div w:id="1570270287">
      <w:bodyDiv w:val="1"/>
      <w:marLeft w:val="0"/>
      <w:marRight w:val="0"/>
      <w:marTop w:val="0"/>
      <w:marBottom w:val="0"/>
      <w:divBdr>
        <w:top w:val="none" w:sz="0" w:space="0" w:color="auto"/>
        <w:left w:val="none" w:sz="0" w:space="0" w:color="auto"/>
        <w:bottom w:val="none" w:sz="0" w:space="0" w:color="auto"/>
        <w:right w:val="none" w:sz="0" w:space="0" w:color="auto"/>
      </w:divBdr>
    </w:div>
    <w:div w:id="1616250016">
      <w:bodyDiv w:val="1"/>
      <w:marLeft w:val="0"/>
      <w:marRight w:val="0"/>
      <w:marTop w:val="0"/>
      <w:marBottom w:val="0"/>
      <w:divBdr>
        <w:top w:val="none" w:sz="0" w:space="0" w:color="auto"/>
        <w:left w:val="none" w:sz="0" w:space="0" w:color="auto"/>
        <w:bottom w:val="none" w:sz="0" w:space="0" w:color="auto"/>
        <w:right w:val="none" w:sz="0" w:space="0" w:color="auto"/>
      </w:divBdr>
    </w:div>
    <w:div w:id="1673679385">
      <w:bodyDiv w:val="1"/>
      <w:marLeft w:val="0"/>
      <w:marRight w:val="0"/>
      <w:marTop w:val="0"/>
      <w:marBottom w:val="0"/>
      <w:divBdr>
        <w:top w:val="none" w:sz="0" w:space="0" w:color="auto"/>
        <w:left w:val="none" w:sz="0" w:space="0" w:color="auto"/>
        <w:bottom w:val="none" w:sz="0" w:space="0" w:color="auto"/>
        <w:right w:val="none" w:sz="0" w:space="0" w:color="auto"/>
      </w:divBdr>
    </w:div>
    <w:div w:id="1678574980">
      <w:bodyDiv w:val="1"/>
      <w:marLeft w:val="0"/>
      <w:marRight w:val="0"/>
      <w:marTop w:val="0"/>
      <w:marBottom w:val="0"/>
      <w:divBdr>
        <w:top w:val="none" w:sz="0" w:space="0" w:color="auto"/>
        <w:left w:val="none" w:sz="0" w:space="0" w:color="auto"/>
        <w:bottom w:val="none" w:sz="0" w:space="0" w:color="auto"/>
        <w:right w:val="none" w:sz="0" w:space="0" w:color="auto"/>
      </w:divBdr>
    </w:div>
    <w:div w:id="1705672405">
      <w:bodyDiv w:val="1"/>
      <w:marLeft w:val="0"/>
      <w:marRight w:val="0"/>
      <w:marTop w:val="0"/>
      <w:marBottom w:val="0"/>
      <w:divBdr>
        <w:top w:val="none" w:sz="0" w:space="0" w:color="auto"/>
        <w:left w:val="none" w:sz="0" w:space="0" w:color="auto"/>
        <w:bottom w:val="none" w:sz="0" w:space="0" w:color="auto"/>
        <w:right w:val="none" w:sz="0" w:space="0" w:color="auto"/>
      </w:divBdr>
    </w:div>
    <w:div w:id="1764720041">
      <w:bodyDiv w:val="1"/>
      <w:marLeft w:val="0"/>
      <w:marRight w:val="0"/>
      <w:marTop w:val="0"/>
      <w:marBottom w:val="0"/>
      <w:divBdr>
        <w:top w:val="none" w:sz="0" w:space="0" w:color="auto"/>
        <w:left w:val="none" w:sz="0" w:space="0" w:color="auto"/>
        <w:bottom w:val="none" w:sz="0" w:space="0" w:color="auto"/>
        <w:right w:val="none" w:sz="0" w:space="0" w:color="auto"/>
      </w:divBdr>
    </w:div>
    <w:div w:id="1782601087">
      <w:bodyDiv w:val="1"/>
      <w:marLeft w:val="0"/>
      <w:marRight w:val="0"/>
      <w:marTop w:val="0"/>
      <w:marBottom w:val="0"/>
      <w:divBdr>
        <w:top w:val="none" w:sz="0" w:space="0" w:color="auto"/>
        <w:left w:val="none" w:sz="0" w:space="0" w:color="auto"/>
        <w:bottom w:val="none" w:sz="0" w:space="0" w:color="auto"/>
        <w:right w:val="none" w:sz="0" w:space="0" w:color="auto"/>
      </w:divBdr>
    </w:div>
    <w:div w:id="1794906722">
      <w:bodyDiv w:val="1"/>
      <w:marLeft w:val="0"/>
      <w:marRight w:val="0"/>
      <w:marTop w:val="0"/>
      <w:marBottom w:val="0"/>
      <w:divBdr>
        <w:top w:val="none" w:sz="0" w:space="0" w:color="auto"/>
        <w:left w:val="none" w:sz="0" w:space="0" w:color="auto"/>
        <w:bottom w:val="none" w:sz="0" w:space="0" w:color="auto"/>
        <w:right w:val="none" w:sz="0" w:space="0" w:color="auto"/>
      </w:divBdr>
    </w:div>
    <w:div w:id="1814102742">
      <w:bodyDiv w:val="1"/>
      <w:marLeft w:val="0"/>
      <w:marRight w:val="0"/>
      <w:marTop w:val="0"/>
      <w:marBottom w:val="0"/>
      <w:divBdr>
        <w:top w:val="none" w:sz="0" w:space="0" w:color="auto"/>
        <w:left w:val="none" w:sz="0" w:space="0" w:color="auto"/>
        <w:bottom w:val="none" w:sz="0" w:space="0" w:color="auto"/>
        <w:right w:val="none" w:sz="0" w:space="0" w:color="auto"/>
      </w:divBdr>
    </w:div>
    <w:div w:id="1886680097">
      <w:bodyDiv w:val="1"/>
      <w:marLeft w:val="0"/>
      <w:marRight w:val="0"/>
      <w:marTop w:val="0"/>
      <w:marBottom w:val="0"/>
      <w:divBdr>
        <w:top w:val="none" w:sz="0" w:space="0" w:color="auto"/>
        <w:left w:val="none" w:sz="0" w:space="0" w:color="auto"/>
        <w:bottom w:val="none" w:sz="0" w:space="0" w:color="auto"/>
        <w:right w:val="none" w:sz="0" w:space="0" w:color="auto"/>
      </w:divBdr>
    </w:div>
    <w:div w:id="1892183719">
      <w:bodyDiv w:val="1"/>
      <w:marLeft w:val="0"/>
      <w:marRight w:val="0"/>
      <w:marTop w:val="0"/>
      <w:marBottom w:val="0"/>
      <w:divBdr>
        <w:top w:val="none" w:sz="0" w:space="0" w:color="auto"/>
        <w:left w:val="none" w:sz="0" w:space="0" w:color="auto"/>
        <w:bottom w:val="none" w:sz="0" w:space="0" w:color="auto"/>
        <w:right w:val="none" w:sz="0" w:space="0" w:color="auto"/>
      </w:divBdr>
    </w:div>
    <w:div w:id="1927302070">
      <w:bodyDiv w:val="1"/>
      <w:marLeft w:val="0"/>
      <w:marRight w:val="0"/>
      <w:marTop w:val="0"/>
      <w:marBottom w:val="0"/>
      <w:divBdr>
        <w:top w:val="none" w:sz="0" w:space="0" w:color="auto"/>
        <w:left w:val="none" w:sz="0" w:space="0" w:color="auto"/>
        <w:bottom w:val="none" w:sz="0" w:space="0" w:color="auto"/>
        <w:right w:val="none" w:sz="0" w:space="0" w:color="auto"/>
      </w:divBdr>
    </w:div>
    <w:div w:id="1974170974">
      <w:bodyDiv w:val="1"/>
      <w:marLeft w:val="0"/>
      <w:marRight w:val="0"/>
      <w:marTop w:val="0"/>
      <w:marBottom w:val="0"/>
      <w:divBdr>
        <w:top w:val="none" w:sz="0" w:space="0" w:color="auto"/>
        <w:left w:val="none" w:sz="0" w:space="0" w:color="auto"/>
        <w:bottom w:val="none" w:sz="0" w:space="0" w:color="auto"/>
        <w:right w:val="none" w:sz="0" w:space="0" w:color="auto"/>
      </w:divBdr>
    </w:div>
    <w:div w:id="2021737828">
      <w:bodyDiv w:val="1"/>
      <w:marLeft w:val="0"/>
      <w:marRight w:val="0"/>
      <w:marTop w:val="0"/>
      <w:marBottom w:val="0"/>
      <w:divBdr>
        <w:top w:val="none" w:sz="0" w:space="0" w:color="auto"/>
        <w:left w:val="none" w:sz="0" w:space="0" w:color="auto"/>
        <w:bottom w:val="none" w:sz="0" w:space="0" w:color="auto"/>
        <w:right w:val="none" w:sz="0" w:space="0" w:color="auto"/>
      </w:divBdr>
    </w:div>
    <w:div w:id="2084138922">
      <w:bodyDiv w:val="1"/>
      <w:marLeft w:val="0"/>
      <w:marRight w:val="0"/>
      <w:marTop w:val="0"/>
      <w:marBottom w:val="0"/>
      <w:divBdr>
        <w:top w:val="none" w:sz="0" w:space="0" w:color="auto"/>
        <w:left w:val="none" w:sz="0" w:space="0" w:color="auto"/>
        <w:bottom w:val="none" w:sz="0" w:space="0" w:color="auto"/>
        <w:right w:val="none" w:sz="0" w:space="0" w:color="auto"/>
      </w:divBdr>
    </w:div>
    <w:div w:id="21409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mv.es/Portal/Consultas/IIC/RentHistGastosIIC.aspx?Tipo=FI&amp;Numero=4789&amp;NC=0&amp;N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 ASSET MANAGEMENT</dc:creator>
  <cp:keywords/>
  <dc:description/>
  <cp:lastModifiedBy>FCS ASSET MANAGEMENT</cp:lastModifiedBy>
  <cp:revision>2</cp:revision>
  <dcterms:created xsi:type="dcterms:W3CDTF">2016-02-18T09:50:00Z</dcterms:created>
  <dcterms:modified xsi:type="dcterms:W3CDTF">2016-02-18T11:16:00Z</dcterms:modified>
</cp:coreProperties>
</file>